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color w:val="auto"/>
          <w:sz w:val="52"/>
          <w:szCs w:val="52"/>
          <w:highlight w:val="none"/>
          <w:lang w:eastAsia="zh-CN"/>
        </w:rPr>
      </w:pPr>
      <w:r>
        <w:rPr>
          <w:rFonts w:hint="eastAsia" w:ascii="宋体" w:hAnsi="宋体" w:cs="宋体"/>
          <w:b/>
          <w:bCs/>
          <w:color w:val="auto"/>
          <w:sz w:val="44"/>
          <w:szCs w:val="44"/>
          <w:highlight w:val="none"/>
          <w:lang w:eastAsia="zh-CN"/>
        </w:rPr>
        <w:t xml:space="preserve">通州区deepseek应用部门知识库建设项目</w:t>
      </w:r>
      <w:r/>
    </w:p>
    <w:p>
      <w:pPr>
        <w:pStyle w:val="864"/>
        <w:rPr>
          <w:rFonts w:hint="eastAsia" w:eastAsia="等线"/>
          <w:color w:val="auto"/>
          <w:highlight w:val="none"/>
        </w:rPr>
      </w:pPr>
      <w:r>
        <w:rPr>
          <w:rFonts w:hint="eastAsia" w:eastAsia="等线"/>
          <w:color w:val="auto"/>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招　标　文　件</w:t>
      </w:r>
      <w:r/>
    </w:p>
    <w:p>
      <w:pPr>
        <w:rPr>
          <w:rFonts w:hint="eastAsia"/>
          <w:color w:val="auto"/>
          <w:highlight w:val="none"/>
        </w:rPr>
      </w:pPr>
      <w:r>
        <w:rPr>
          <w:rFonts w:hint="eastAsia"/>
          <w:color w:val="auto"/>
          <w:highlight w:val="none"/>
        </w:rPr>
      </w:r>
      <w:r/>
    </w:p>
    <w:p>
      <w:pPr>
        <w:ind w:left="2100" w:hanging="2100"/>
        <w:rPr>
          <w:rFonts w:hint="eastAsia"/>
          <w:b/>
          <w:color w:val="auto"/>
          <w:sz w:val="30"/>
          <w:szCs w:val="30"/>
          <w:highlight w:val="none"/>
        </w:rPr>
      </w:pPr>
      <w:r>
        <w:rPr>
          <w:rFonts w:hint="eastAsia"/>
          <w:color w:val="auto"/>
          <w:szCs w:val="21"/>
          <w:highlight w:val="none"/>
        </w:rPr>
        <w:t xml:space="preserve">           </w:t>
      </w:r>
      <w:r>
        <w:rPr>
          <w:rFonts w:hint="eastAsia"/>
          <w:b/>
          <w:color w:val="auto"/>
          <w:sz w:val="30"/>
          <w:szCs w:val="30"/>
          <w:highlight w:val="none"/>
        </w:rPr>
        <w:t xml:space="preserve">   </w:t>
      </w:r>
      <w:r/>
    </w:p>
    <w:p>
      <w:pPr>
        <w:ind w:left="2100" w:hanging="2100"/>
        <w:rPr>
          <w:rFonts w:hint="eastAsia"/>
          <w:b/>
          <w:color w:val="auto"/>
          <w:sz w:val="30"/>
          <w:szCs w:val="30"/>
          <w:highlight w:val="none"/>
        </w:rPr>
      </w:pPr>
      <w:r>
        <w:rPr>
          <w:rFonts w:hint="eastAsia"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18" o:title=""/>
          </v:shape>
          <o:OLEObject DrawAspect="Content" r:id="rId19" ObjectID="_1525045" ProgID="MS_ClipArt_Gallery" ShapeID="_x0000_i5" Type="Embed"/>
        </w:object>
      </w:r>
      <w:r/>
    </w:p>
    <w:p>
      <w:pPr>
        <w:jc w:val="cente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b/>
          <w:bCs/>
          <w:color w:val="auto"/>
          <w:sz w:val="30"/>
          <w:szCs w:val="30"/>
          <w:highlight w:val="none"/>
        </w:rPr>
      </w:pPr>
      <w:r>
        <w:rPr>
          <w:rFonts w:ascii="宋体" w:hAnsi="宋体" w:cs="宋体"/>
          <w:b/>
          <w:bCs/>
          <w:color w:val="auto"/>
          <w:sz w:val="30"/>
          <w:szCs w:val="30"/>
          <w:highlight w:val="none"/>
        </w:rPr>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采购单位：</w:t>
      </w:r>
      <w:r>
        <w:rPr>
          <w:rFonts w:hint="eastAsia" w:ascii="宋体" w:hAnsi="宋体" w:cs="宋体"/>
          <w:b/>
          <w:bCs/>
          <w:color w:val="auto"/>
          <w:sz w:val="30"/>
          <w:szCs w:val="30"/>
          <w:highlight w:val="none"/>
          <w:lang w:eastAsia="zh-CN"/>
        </w:rPr>
        <w:t xml:space="preserve">南通市通州区数据局</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代理机构：南通建仁房地产评估工程项目管理有限公司</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日  期：2025年</w:t>
      </w:r>
      <w:r>
        <w:rPr>
          <w:rFonts w:hint="eastAsia" w:ascii="宋体" w:hAnsi="宋体" w:cs="宋体"/>
          <w:b/>
          <w:bCs/>
          <w:color w:val="auto"/>
          <w:sz w:val="30"/>
          <w:szCs w:val="30"/>
          <w:highlight w:val="none"/>
          <w:lang w:val="en-US" w:eastAsia="zh-CN"/>
        </w:rPr>
        <w:t xml:space="preserve">12</w:t>
      </w:r>
      <w:r>
        <w:rPr>
          <w:rFonts w:hint="eastAsia" w:ascii="宋体" w:hAnsi="宋体" w:cs="宋体"/>
          <w:b/>
          <w:bCs/>
          <w:color w:val="auto"/>
          <w:sz w:val="30"/>
          <w:szCs w:val="30"/>
          <w:highlight w:val="none"/>
        </w:rPr>
        <w:t xml:space="preserve">月</w:t>
      </w:r>
      <w:r/>
    </w:p>
    <w:p>
      <w:pPr>
        <w:ind w:firstLine="720"/>
        <w:jc w:val="center"/>
        <w:spacing w:line="400" w:lineRule="exact"/>
        <w:rPr>
          <w:rFonts w:ascii="宋体" w:hAnsi="宋体"/>
          <w:color w:val="auto"/>
          <w:sz w:val="36"/>
          <w:szCs w:val="36"/>
          <w:highlight w:val="none"/>
        </w:rPr>
      </w:pPr>
      <w:r/>
      <w:bookmarkStart w:id="0" w:name="_Toc292026095"/>
      <w:r/>
      <w:bookmarkStart w:id="1" w:name="_Toc362528460"/>
      <w:r>
        <w:rPr>
          <w:rFonts w:hint="eastAsia" w:ascii="宋体" w:hAnsi="宋体"/>
          <w:color w:val="auto"/>
          <w:sz w:val="36"/>
          <w:szCs w:val="36"/>
          <w:highlight w:val="none"/>
        </w:rPr>
        <w:br w:type="column"/>
      </w:r>
      <w:r>
        <w:rPr>
          <w:rFonts w:hint="eastAsia" w:ascii="宋体" w:hAnsi="宋体"/>
          <w:color w:val="auto"/>
          <w:sz w:val="36"/>
          <w:szCs w:val="36"/>
          <w:highlight w:val="none"/>
        </w:rPr>
        <w:t xml:space="preserve">招标文件备案表</w:t>
      </w:r>
      <w:r/>
    </w:p>
    <w:tbl>
      <w:tblPr>
        <w:tblStyle w:val="863"/>
        <w:tblpPr w:horzAnchor="margin" w:tblpXSpec="center" w:vertAnchor="text" w:tblpY="158" w:leftFromText="180" w:topFromText="0" w:rightFromText="180" w:bottomFromText="0"/>
        <w:tblW w:w="8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48"/>
      </w:tblGrid>
      <w:tr>
        <w:trPr>
          <w:trHeight w:val="2542"/>
        </w:trPr>
        <w:tc>
          <w:tcPr>
            <w:tcW w:w="8748" w:type="dxa"/>
            <w:vAlign w:val="top"/>
            <w:textDirection w:val="lrTb"/>
            <w:noWrap w:val="false"/>
          </w:tcPr>
          <w:p>
            <w:pPr>
              <w:rPr>
                <w:color w:val="auto"/>
                <w:sz w:val="24"/>
                <w:szCs w:val="24"/>
                <w:highlight w:val="none"/>
              </w:rPr>
            </w:pPr>
            <w:r>
              <w:rPr>
                <w:color w:val="auto"/>
                <w:sz w:val="24"/>
                <w:szCs w:val="24"/>
                <w:highlight w:val="none"/>
              </w:rPr>
            </w:r>
            <w:r/>
          </w:p>
          <w:p>
            <w:pPr>
              <w:ind w:firstLine="3360"/>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编制人： 陈柯柯</w:t>
            </w:r>
            <w:r/>
          </w:p>
          <w:p>
            <w:pPr>
              <w:ind w:firstLine="4320"/>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                                        日  期：202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12</w:t>
            </w:r>
            <w:r>
              <w:rPr>
                <w:rFonts w:hint="eastAsia"/>
                <w:color w:val="auto"/>
                <w:sz w:val="24"/>
                <w:szCs w:val="24"/>
                <w:highlight w:val="none"/>
              </w:rPr>
              <w:t xml:space="preserve">月</w:t>
            </w:r>
            <w:r>
              <w:rPr>
                <w:rFonts w:hint="eastAsia"/>
                <w:color w:val="auto"/>
                <w:sz w:val="24"/>
                <w:szCs w:val="24"/>
                <w:highlight w:val="none"/>
                <w:lang w:val="en-US" w:eastAsia="zh-CN"/>
              </w:rPr>
              <w:t xml:space="preserve">2</w:t>
            </w:r>
            <w:r>
              <w:rPr>
                <w:rFonts w:hint="eastAsia"/>
                <w:color w:val="auto"/>
                <w:sz w:val="24"/>
                <w:szCs w:val="24"/>
                <w:highlight w:val="none"/>
              </w:rPr>
              <w:t xml:space="preserve">日</w:t>
            </w:r>
            <w:r/>
          </w:p>
        </w:tc>
      </w:tr>
      <w:tr>
        <w:trPr>
          <w:trHeight w:val="4100"/>
        </w:trPr>
        <w:tc>
          <w:tcPr>
            <w:tcW w:w="8748" w:type="dxa"/>
            <w:vAlign w:val="top"/>
            <w:textDirection w:val="lrTb"/>
            <w:noWrap w:val="false"/>
          </w:tcPr>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招标人（盖章）：                </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法定代表人（签字或盖章）：</w:t>
            </w:r>
            <w:r/>
          </w:p>
          <w:p>
            <w:pPr>
              <w:ind w:firstLine="3600"/>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或授权委托人（签字或盖章）：</w:t>
            </w:r>
            <w:r/>
          </w:p>
          <w:p>
            <w:pPr>
              <w:rPr>
                <w:color w:val="auto"/>
                <w:sz w:val="24"/>
                <w:szCs w:val="24"/>
                <w:highlight w:val="none"/>
              </w:rPr>
            </w:pPr>
            <w:r>
              <w:rPr>
                <w:color w:val="auto"/>
                <w:sz w:val="24"/>
                <w:szCs w:val="24"/>
                <w:highlight w:val="none"/>
              </w:rPr>
            </w:r>
            <w:r/>
          </w:p>
          <w:p>
            <w:pPr>
              <w:ind w:firstLine="120"/>
              <w:rPr>
                <w:color w:val="auto"/>
                <w:sz w:val="24"/>
                <w:szCs w:val="24"/>
                <w:highlight w:val="none"/>
              </w:rPr>
            </w:pPr>
            <w:r>
              <w:rPr>
                <w:color w:val="auto"/>
                <w:sz w:val="24"/>
                <w:szCs w:val="24"/>
                <w:highlight w:val="none"/>
              </w:rPr>
            </w:r>
            <w:r/>
          </w:p>
          <w:p>
            <w:pPr>
              <w:ind w:firstLine="120"/>
              <w:rPr>
                <w:color w:val="auto"/>
                <w:sz w:val="24"/>
                <w:szCs w:val="24"/>
                <w:highlight w:val="none"/>
              </w:rPr>
            </w:pPr>
            <w:r>
              <w:rPr>
                <w:color w:val="auto"/>
                <w:sz w:val="24"/>
                <w:szCs w:val="24"/>
                <w:highlight w:val="none"/>
              </w:rPr>
            </w:r>
            <w:r/>
          </w:p>
          <w:p>
            <w:pPr>
              <w:ind w:firstLine="4800"/>
              <w:rPr>
                <w:color w:val="auto"/>
                <w:sz w:val="24"/>
                <w:szCs w:val="24"/>
                <w:highlight w:val="none"/>
              </w:rPr>
            </w:pPr>
            <w:r>
              <w:rPr>
                <w:rFonts w:hint="eastAsia"/>
                <w:color w:val="auto"/>
                <w:sz w:val="24"/>
                <w:szCs w:val="24"/>
                <w:highlight w:val="none"/>
              </w:rPr>
              <w:t xml:space="preserve">日  期： </w:t>
            </w:r>
            <w:r>
              <w:rPr>
                <w:color w:val="auto"/>
                <w:sz w:val="24"/>
                <w:szCs w:val="24"/>
                <w:highlight w:val="none"/>
              </w:rPr>
              <w:t xml:space="preserve">  </w:t>
            </w:r>
            <w:r>
              <w:rPr>
                <w:rFonts w:hint="eastAsia"/>
                <w:color w:val="auto"/>
                <w:sz w:val="24"/>
                <w:szCs w:val="24"/>
                <w:highlight w:val="none"/>
              </w:rPr>
              <w:t xml:space="preserve"> </w:t>
            </w:r>
            <w:r>
              <w:rPr>
                <w:color w:val="auto"/>
                <w:sz w:val="24"/>
                <w:szCs w:val="24"/>
                <w:highlight w:val="none"/>
              </w:rPr>
              <w:t xml:space="preserve">   </w:t>
            </w: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月</w:t>
            </w:r>
            <w:r>
              <w:rPr>
                <w:color w:val="auto"/>
                <w:sz w:val="24"/>
                <w:szCs w:val="24"/>
                <w:highlight w:val="none"/>
              </w:rPr>
              <w:t xml:space="preserve">   </w:t>
            </w:r>
            <w:r>
              <w:rPr>
                <w:rFonts w:hint="eastAsia"/>
                <w:color w:val="auto"/>
                <w:sz w:val="24"/>
                <w:szCs w:val="24"/>
                <w:highlight w:val="none"/>
              </w:rPr>
              <w:t xml:space="preserve">日</w:t>
            </w:r>
            <w:r/>
          </w:p>
        </w:tc>
      </w:tr>
      <w:tr>
        <w:trPr>
          <w:trHeight w:val="4397"/>
        </w:trPr>
        <w:tc>
          <w:tcPr>
            <w:tcW w:w="8748" w:type="dxa"/>
            <w:vAlign w:val="top"/>
            <w:textDirection w:val="lrTb"/>
            <w:noWrap w:val="false"/>
          </w:tcPr>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招标代理机构（盖章）：</w:t>
            </w:r>
            <w:r>
              <w:rPr>
                <w:color w:val="auto"/>
                <w:sz w:val="24"/>
                <w:szCs w:val="24"/>
                <w:highlight w:val="none"/>
              </w:rPr>
              <w:t xml:space="preserve">          </w:t>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法人代表（签字或盖章）：</w:t>
            </w:r>
            <w:r/>
          </w:p>
          <w:p>
            <w:pPr>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或授权委托人（签字或盖章）：</w:t>
            </w:r>
            <w:r>
              <w:rPr>
                <w:color w:val="auto"/>
                <w:sz w:val="24"/>
                <w:szCs w:val="24"/>
                <w:highlight w:val="none"/>
              </w:rPr>
              <w:t xml:space="preserve">  </w:t>
            </w:r>
            <w:r/>
          </w:p>
          <w:p>
            <w:pPr>
              <w:rPr>
                <w:color w:val="auto"/>
                <w:sz w:val="24"/>
                <w:szCs w:val="24"/>
                <w:highlight w:val="none"/>
              </w:rPr>
            </w:pPr>
            <w:r>
              <w:rPr>
                <w:color w:val="auto"/>
                <w:sz w:val="24"/>
                <w:szCs w:val="24"/>
                <w:highlight w:val="none"/>
              </w:rPr>
              <w:t xml:space="preserve">            </w:t>
            </w:r>
            <w:r/>
          </w:p>
          <w:p>
            <w:pPr>
              <w:rPr>
                <w:color w:val="auto"/>
                <w:sz w:val="24"/>
                <w:szCs w:val="24"/>
                <w:highlight w:val="none"/>
              </w:rPr>
            </w:pPr>
            <w:r>
              <w:rPr>
                <w:rFonts w:hint="eastAsia"/>
                <w:color w:val="auto"/>
                <w:sz w:val="24"/>
                <w:szCs w:val="24"/>
                <w:highlight w:val="none"/>
              </w:rPr>
              <w:t xml:space="preserve">         </w:t>
            </w:r>
            <w:r/>
          </w:p>
          <w:p>
            <w:pPr>
              <w:ind w:firstLine="480"/>
              <w:rPr>
                <w:color w:val="auto"/>
                <w:sz w:val="24"/>
                <w:szCs w:val="24"/>
                <w:highlight w:val="none"/>
              </w:rPr>
            </w:pPr>
            <w:r>
              <w:rPr>
                <w:color w:val="auto"/>
                <w:sz w:val="24"/>
                <w:szCs w:val="24"/>
                <w:highlight w:val="none"/>
              </w:rPr>
            </w:r>
            <w:r/>
          </w:p>
          <w:p>
            <w:pPr>
              <w:rPr>
                <w:color w:val="auto"/>
                <w:sz w:val="24"/>
                <w:szCs w:val="24"/>
                <w:highlight w:val="none"/>
              </w:rPr>
            </w:pPr>
            <w:r>
              <w:rPr>
                <w:rFonts w:hint="eastAsia"/>
                <w:color w:val="auto"/>
                <w:sz w:val="24"/>
                <w:szCs w:val="24"/>
                <w:highlight w:val="none"/>
              </w:rPr>
              <w:t xml:space="preserve">                                        日  期：  </w:t>
            </w:r>
            <w:r>
              <w:rPr>
                <w:color w:val="auto"/>
                <w:sz w:val="24"/>
                <w:szCs w:val="24"/>
                <w:highlight w:val="none"/>
              </w:rPr>
              <w:t xml:space="preserve">     </w:t>
            </w:r>
            <w:r>
              <w:rPr>
                <w:rFonts w:hint="eastAsia"/>
                <w:color w:val="auto"/>
                <w:sz w:val="24"/>
                <w:szCs w:val="24"/>
                <w:highlight w:val="none"/>
              </w:rPr>
              <w:t xml:space="preserve">年  </w:t>
            </w:r>
            <w:r>
              <w:rPr>
                <w:color w:val="auto"/>
                <w:sz w:val="24"/>
                <w:szCs w:val="24"/>
                <w:highlight w:val="none"/>
              </w:rPr>
              <w:t xml:space="preserve"> </w:t>
            </w:r>
            <w:r>
              <w:rPr>
                <w:rFonts w:hint="eastAsia"/>
                <w:color w:val="auto"/>
                <w:sz w:val="24"/>
                <w:szCs w:val="24"/>
                <w:highlight w:val="none"/>
              </w:rPr>
              <w:t xml:space="preserve">月</w:t>
            </w:r>
            <w:r>
              <w:rPr>
                <w:color w:val="auto"/>
                <w:sz w:val="24"/>
                <w:szCs w:val="24"/>
                <w:highlight w:val="none"/>
              </w:rPr>
              <w:t xml:space="preserve">   </w:t>
            </w:r>
            <w:r>
              <w:rPr>
                <w:rFonts w:hint="eastAsia"/>
                <w:color w:val="auto"/>
                <w:sz w:val="24"/>
                <w:szCs w:val="24"/>
                <w:highlight w:val="none"/>
              </w:rPr>
              <w:t xml:space="preserve">日</w:t>
            </w:r>
            <w:bookmarkEnd w:id="0"/>
            <w:bookmarkEnd w:id="1"/>
            <w:r/>
          </w:p>
        </w:tc>
      </w:tr>
    </w:tbl>
    <w:p>
      <w:pPr>
        <w:jc w:val="center"/>
        <w:spacing w:line="480" w:lineRule="auto"/>
        <w:rPr>
          <w:rFonts w:hint="eastAsia" w:ascii="黑体" w:hAnsi="Arial" w:eastAsia="黑体"/>
          <w:b/>
          <w:color w:val="auto"/>
          <w:sz w:val="44"/>
          <w:szCs w:val="21"/>
          <w:highlight w:val="none"/>
        </w:rPr>
        <w:outlineLvl w:val="0"/>
      </w:pPr>
      <w:r>
        <w:rPr>
          <w:rFonts w:hint="eastAsia" w:ascii="黑体" w:hAnsi="Arial" w:eastAsia="黑体"/>
          <w:b/>
          <w:color w:val="auto"/>
          <w:sz w:val="44"/>
          <w:szCs w:val="21"/>
          <w:highlight w:val="none"/>
        </w:rPr>
        <w:br w:type="column"/>
      </w:r>
      <w:r>
        <w:rPr>
          <w:rFonts w:hint="eastAsia" w:ascii="黑体" w:hAnsi="Arial" w:eastAsia="黑体"/>
          <w:b/>
          <w:color w:val="auto"/>
          <w:sz w:val="44"/>
          <w:szCs w:val="21"/>
          <w:highlight w:val="none"/>
        </w:rPr>
        <w:t xml:space="preserve">总  目  录</w:t>
      </w:r>
      <w:r/>
    </w:p>
    <w:p>
      <w:pPr>
        <w:spacing w:line="480" w:lineRule="auto"/>
        <w:rPr>
          <w:rFonts w:hint="eastAsia" w:ascii="仿宋_GB2312" w:hAnsi="Arial" w:eastAsia="仿宋_GB2312"/>
          <w:b/>
          <w:color w:val="auto"/>
          <w:sz w:val="28"/>
          <w:szCs w:val="21"/>
          <w:highlight w:val="none"/>
        </w:rPr>
      </w:pPr>
      <w:r>
        <w:rPr>
          <w:rFonts w:hint="eastAsia" w:ascii="仿宋_GB2312" w:hAnsi="Arial" w:eastAsia="仿宋_GB2312"/>
          <w:b/>
          <w:color w:val="auto"/>
          <w:sz w:val="28"/>
          <w:szCs w:val="21"/>
          <w:highlight w:val="none"/>
        </w:rPr>
      </w:r>
      <w:r/>
    </w:p>
    <w:p>
      <w:pPr>
        <w:numPr>
          <w:ilvl w:val="0"/>
          <w:numId w:val="5"/>
        </w:numPr>
        <w:spacing w:line="480" w:lineRule="auto"/>
        <w:rPr>
          <w:rFonts w:hint="eastAsia" w:ascii="黑体" w:hAnsi="Showcard Gothic" w:eastAsia="黑体"/>
          <w:color w:val="auto"/>
          <w:sz w:val="32"/>
          <w:szCs w:val="21"/>
          <w:highlight w:val="none"/>
        </w:rPr>
        <w:outlineLvl w:val="0"/>
      </w:pPr>
      <w:r>
        <w:rPr>
          <w:rFonts w:hint="eastAsia" w:ascii="黑体" w:hAnsi="宋体" w:eastAsia="黑体"/>
          <w:color w:val="auto"/>
          <w:sz w:val="36"/>
          <w:szCs w:val="21"/>
          <w:highlight w:val="none"/>
        </w:rPr>
        <w:t xml:space="preserve">投标邀请</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投标人须知</w:t>
      </w:r>
      <w:r>
        <w:rPr>
          <w:rFonts w:hint="eastAsia" w:ascii="黑体" w:hAnsi="Showcard Gothic" w:eastAsia="黑体"/>
          <w:color w:val="auto"/>
          <w:sz w:val="36"/>
          <w:szCs w:val="36"/>
          <w:highlight w:val="none"/>
        </w:rPr>
        <w:t xml:space="preserve"> </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合同文本</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采购需求</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bCs/>
          <w:color w:val="auto"/>
          <w:sz w:val="36"/>
          <w:szCs w:val="36"/>
          <w:highlight w:val="none"/>
        </w:rPr>
        <w:t xml:space="preserve">评标方法与评标标准</w:t>
      </w:r>
      <w:r>
        <w:rPr>
          <w:rFonts w:hint="eastAsia" w:ascii="黑体" w:hAnsi="Showcard Gothic" w:eastAsia="黑体"/>
          <w:color w:val="auto"/>
          <w:sz w:val="36"/>
          <w:szCs w:val="21"/>
          <w:highlight w:val="none"/>
        </w:rPr>
        <w:t xml:space="preserve"> </w:t>
      </w:r>
      <w:r/>
    </w:p>
    <w:p>
      <w:pPr>
        <w:numPr>
          <w:ilvl w:val="0"/>
          <w:numId w:val="5"/>
        </w:numPr>
        <w:spacing w:line="480" w:lineRule="auto"/>
        <w:rPr>
          <w:rFonts w:hint="eastAsia" w:ascii="黑体" w:hAnsi="Showcard Gothic" w:eastAsia="黑体"/>
          <w:color w:val="auto"/>
          <w:sz w:val="36"/>
          <w:szCs w:val="21"/>
          <w:highlight w:val="none"/>
        </w:rPr>
        <w:outlineLvl w:val="0"/>
      </w:pPr>
      <w:r>
        <w:rPr>
          <w:rFonts w:hint="eastAsia" w:ascii="黑体" w:hAnsi="宋体" w:eastAsia="黑体"/>
          <w:color w:val="auto"/>
          <w:sz w:val="36"/>
          <w:szCs w:val="21"/>
          <w:highlight w:val="none"/>
        </w:rPr>
        <w:t xml:space="preserve">投标文件格式</w:t>
      </w:r>
      <w:r>
        <w:rPr>
          <w:rFonts w:hint="eastAsia" w:ascii="黑体" w:hAnsi="Showcard Gothic" w:eastAsia="黑体"/>
          <w:color w:val="auto"/>
          <w:sz w:val="36"/>
          <w:szCs w:val="21"/>
          <w:highlight w:val="none"/>
        </w:rPr>
        <w:t xml:space="preserve"> </w:t>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rPr>
          <w:rFonts w:hint="eastAsia"/>
          <w:color w:val="auto"/>
          <w:szCs w:val="21"/>
          <w:highlight w:val="none"/>
        </w:rPr>
      </w:pPr>
      <w:r>
        <w:rPr>
          <w:rFonts w:hint="eastAsia"/>
          <w:color w:val="auto"/>
          <w:szCs w:val="21"/>
          <w:highlight w:val="none"/>
        </w:rPr>
      </w:r>
      <w:r/>
    </w:p>
    <w:p>
      <w:pPr>
        <w:jc w:val="center"/>
        <w:keepNext/>
        <w:rPr>
          <w:rFonts w:hint="eastAsia" w:ascii="黑体" w:eastAsia="黑体"/>
          <w:bCs/>
          <w:color w:val="auto"/>
          <w:sz w:val="44"/>
          <w:szCs w:val="44"/>
          <w:highlight w:val="none"/>
        </w:rPr>
        <w:outlineLvl w:val="0"/>
      </w:pPr>
      <w:r>
        <w:rPr>
          <w:rFonts w:hint="eastAsia" w:ascii="黑体" w:eastAsia="黑体"/>
          <w:color w:val="auto"/>
          <w:sz w:val="44"/>
          <w:szCs w:val="44"/>
          <w:highlight w:val="none"/>
        </w:rPr>
        <w:t xml:space="preserve">第一章  投标邀请</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南通市通州区数据局</w:t>
      </w:r>
      <w:r>
        <w:rPr>
          <w:rFonts w:hint="eastAsia" w:ascii="宋体" w:hAnsi="宋体"/>
          <w:color w:val="auto"/>
          <w:sz w:val="24"/>
          <w:szCs w:val="24"/>
          <w:highlight w:val="none"/>
        </w:rPr>
        <w:t xml:space="preserve">]的委托，南通建仁房地产评估工程项目管理有限公司就[</w:t>
      </w:r>
      <w:r>
        <w:rPr>
          <w:rFonts w:hint="eastAsia" w:ascii="宋体" w:hAnsi="宋体"/>
          <w:color w:val="auto"/>
          <w:sz w:val="24"/>
          <w:szCs w:val="24"/>
          <w:highlight w:val="none"/>
          <w:lang w:eastAsia="zh-CN"/>
        </w:rPr>
        <w:t xml:space="preserve">通州区deepseek应用部门知识库建设项目</w:t>
      </w:r>
      <w:r>
        <w:rPr>
          <w:rFonts w:hint="eastAsia" w:ascii="宋体" w:hAnsi="宋体"/>
          <w:color w:val="auto"/>
          <w:sz w:val="24"/>
          <w:szCs w:val="24"/>
          <w:highlight w:val="none"/>
        </w:rPr>
        <w:t xml:space="preserve">]([项目编号：JSZC-320612-NTJR-G2025-0067])项目进行公开招标采购，欢迎符合条件的投标人投标。</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通州区deepseek应用部门知识库建设项目</w:t>
      </w:r>
      <w:r>
        <w:rPr>
          <w:rFonts w:hint="eastAsia" w:ascii="宋体" w:hAnsi="宋体"/>
          <w:color w:val="auto"/>
          <w:sz w:val="24"/>
          <w:szCs w:val="24"/>
          <w:highlight w:val="none"/>
        </w:rPr>
        <w:t xml:space="preserve">招标项目的潜在投标人可在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rPr>
        <w:t xml:space="preserve">2025</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12</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14</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498"/>
        <w:keepLines/>
        <w:keepNext/>
        <w:spacing w:before="145" w:after="145" w:line="360" w:lineRule="auto"/>
        <w:rPr>
          <w:b/>
          <w:bCs/>
          <w:color w:val="auto"/>
          <w:sz w:val="32"/>
          <w:szCs w:val="32"/>
          <w:highlight w:val="none"/>
        </w:rPr>
        <w:outlineLvl w:val="2"/>
      </w:pPr>
      <w:r/>
      <w:bookmarkStart w:id="2" w:name="_Toc38985263"/>
      <w:r/>
      <w:bookmarkStart w:id="3" w:name="_Toc28359002"/>
      <w:r/>
      <w:bookmarkStart w:id="4" w:name="_Toc28359079"/>
      <w:r/>
      <w:bookmarkStart w:id="5" w:name="_Toc35393790"/>
      <w:r/>
      <w:bookmarkStart w:id="6" w:name="_Toc35393621"/>
      <w:r/>
      <w:bookmarkStart w:id="7" w:name="_Hlk24379207"/>
      <w:r>
        <w:rPr>
          <w:rFonts w:hint="eastAsia"/>
          <w:b/>
          <w:bCs/>
          <w:color w:val="auto"/>
          <w:sz w:val="32"/>
          <w:szCs w:val="32"/>
          <w:highlight w:val="none"/>
        </w:rPr>
        <w:t xml:space="preserve">一、项目基本情况</w:t>
      </w:r>
      <w:bookmarkEnd w:id="2"/>
      <w:r/>
      <w:bookmarkEnd w:id="3"/>
      <w:r/>
      <w:bookmarkEnd w:id="4"/>
      <w:r/>
      <w:bookmarkEnd w:id="5"/>
      <w:r/>
      <w:bookmarkEnd w:id="6"/>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1.项目编号：JSZC-320612-NTJR-G2025-0067</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p>
    <w:p>
      <w:pPr>
        <w:ind w:firstLine="480"/>
        <w:keepLines w:val="0"/>
        <w:keepNext w:val="0"/>
        <w:pageBreakBefore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通州区deepseek应用部门知识库建设项目</w:t>
      </w:r>
      <w:bookmarkEnd w:id="7"/>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85</w:t>
      </w:r>
      <w:r>
        <w:rPr>
          <w:rFonts w:hint="eastAsia" w:ascii="宋体" w:hAnsi="宋体"/>
          <w:color w:val="auto"/>
          <w:sz w:val="24"/>
          <w:szCs w:val="24"/>
          <w:highlight w:val="none"/>
        </w:rPr>
        <w:t xml:space="preserve">万元</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设定</w:t>
      </w:r>
      <w:r>
        <w:rPr>
          <w:rFonts w:hint="eastAsia" w:ascii="宋体" w:hAnsi="宋体"/>
          <w:color w:val="auto"/>
          <w:sz w:val="24"/>
          <w:szCs w:val="24"/>
          <w:highlight w:val="none"/>
        </w:rPr>
        <w:t xml:space="preserve">（设定/不设定）最高限价，</w:t>
      </w:r>
      <w:r>
        <w:rPr>
          <w:rFonts w:hint="eastAsia" w:ascii="宋体" w:hAnsi="宋体"/>
          <w:color w:val="auto"/>
          <w:sz w:val="24"/>
          <w:szCs w:val="24"/>
          <w:highlight w:val="none"/>
        </w:rPr>
        <w:t xml:space="preserve">最高限价为</w:t>
      </w:r>
      <w:r>
        <w:rPr>
          <w:rFonts w:hint="eastAsia" w:ascii="宋体" w:hAnsi="宋体"/>
          <w:color w:val="auto"/>
          <w:sz w:val="24"/>
          <w:szCs w:val="24"/>
          <w:highlight w:val="none"/>
          <w:u w:val="single"/>
          <w:lang w:val="en-US" w:eastAsia="zh-CN"/>
        </w:rPr>
        <w:t xml:space="preserve">85</w:t>
      </w:r>
      <w:r>
        <w:rPr>
          <w:rFonts w:hint="eastAsia" w:ascii="宋体" w:hAnsi="宋体"/>
          <w:color w:val="auto"/>
          <w:sz w:val="24"/>
          <w:szCs w:val="24"/>
          <w:highlight w:val="none"/>
        </w:rPr>
        <w:t xml:space="preserve">万元。</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5.采购需求(简介)：详细内容</w:t>
      </w:r>
      <w:r>
        <w:rPr>
          <w:rFonts w:hint="eastAsia" w:ascii="宋体" w:hAnsi="宋体" w:eastAsia="宋体" w:cs="Times New Roman"/>
          <w:color w:val="auto"/>
          <w:sz w:val="24"/>
          <w:szCs w:val="24"/>
          <w:highlight w:val="none"/>
          <w:lang w:val="en-US" w:eastAsia="zh-CN"/>
        </w:rPr>
        <w:t xml:space="preserve">详</w:t>
      </w:r>
      <w:r>
        <w:rPr>
          <w:rFonts w:hint="eastAsia" w:ascii="宋体" w:hAnsi="宋体" w:eastAsia="宋体" w:cs="Times New Roman"/>
          <w:color w:val="auto"/>
          <w:sz w:val="24"/>
          <w:szCs w:val="24"/>
          <w:highlight w:val="none"/>
        </w:rPr>
        <w:t xml:space="preserve">见本招标文件第四章。</w:t>
      </w:r>
      <w:r/>
    </w:p>
    <w:p>
      <w:pPr>
        <w:ind w:firstLine="480"/>
        <w:keepLines w:val="0"/>
        <w:keepNext w:val="0"/>
        <w:pageBreakBefore w:val="0"/>
        <w:spacing w:line="360"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6.服务期限：</w:t>
      </w:r>
      <w:r>
        <w:rPr>
          <w:rFonts w:hint="eastAsia" w:ascii="宋体" w:hAnsi="宋体"/>
          <w:color w:val="auto"/>
          <w:sz w:val="24"/>
          <w:szCs w:val="24"/>
          <w:highlight w:val="none"/>
        </w:rPr>
        <w:t xml:space="preserve">自合同签订之日起 </w:t>
      </w:r>
      <w:r>
        <w:rPr>
          <w:rFonts w:hint="eastAsia" w:ascii="宋体" w:hAnsi="宋体"/>
          <w:color w:val="auto"/>
          <w:sz w:val="24"/>
          <w:szCs w:val="24"/>
          <w:highlight w:val="none"/>
          <w:lang w:val="en-US" w:eastAsia="zh-CN"/>
        </w:rPr>
        <w:t xml:space="preserve">6个月</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7.项目类型：</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8.所属行业：</w:t>
      </w:r>
      <w:r>
        <w:rPr>
          <w:rFonts w:hint="eastAsia" w:ascii="宋体" w:hAnsi="宋体" w:eastAsia="宋体" w:cs="Times New Roman"/>
          <w:color w:val="auto"/>
          <w:sz w:val="24"/>
          <w:szCs w:val="24"/>
          <w:highlight w:val="none"/>
          <w:lang w:val="en-US" w:eastAsia="zh-CN"/>
        </w:rPr>
        <w:t xml:space="preserve">软件和信息技术服务业</w:t>
      </w:r>
      <w:r>
        <w:rPr>
          <w:rFonts w:hint="eastAsia" w:ascii="宋体" w:hAnsi="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9.本项目是否专门面向中小企业采购：</w:t>
      </w:r>
      <w:r>
        <w:rPr>
          <w:rFonts w:hint="eastAsia" w:ascii="宋体" w:hAnsi="宋体"/>
          <w:color w:val="auto"/>
          <w:sz w:val="24"/>
          <w:szCs w:val="24"/>
          <w:highlight w:val="none"/>
          <w:lang w:val="en-US" w:eastAsia="zh-CN"/>
        </w:rPr>
        <w:t xml:space="preserve">否</w:t>
      </w:r>
      <w:r>
        <w:rPr>
          <w:rFonts w:hint="eastAsia" w:ascii="宋体" w:hAnsi="宋体"/>
          <w:color w:val="auto"/>
          <w:sz w:val="24"/>
          <w:szCs w:val="24"/>
          <w:highlight w:val="none"/>
        </w:rPr>
        <w:t xml:space="preserve">。</w:t>
      </w:r>
      <w:r/>
    </w:p>
    <w:p>
      <w:pPr>
        <w:ind w:firstLine="498"/>
        <w:keepLines/>
        <w:keepNext/>
        <w:spacing w:before="145" w:after="145" w:line="360" w:lineRule="auto"/>
        <w:rPr>
          <w:b/>
          <w:bCs/>
          <w:color w:val="auto"/>
          <w:sz w:val="32"/>
          <w:szCs w:val="32"/>
          <w:highlight w:val="none"/>
        </w:rPr>
        <w:outlineLvl w:val="2"/>
      </w:pPr>
      <w:r/>
      <w:bookmarkStart w:id="8" w:name="_Toc35393622"/>
      <w:r/>
      <w:bookmarkStart w:id="9" w:name="_Toc38985264"/>
      <w:r/>
      <w:bookmarkStart w:id="10" w:name="_Toc28359003"/>
      <w:r/>
      <w:bookmarkStart w:id="11" w:name="_Toc28359080"/>
      <w:r/>
      <w:bookmarkStart w:id="12" w:name="_Toc35393791"/>
      <w:r>
        <w:rPr>
          <w:rFonts w:hint="eastAsia"/>
          <w:b/>
          <w:bCs/>
          <w:color w:val="auto"/>
          <w:sz w:val="32"/>
          <w:szCs w:val="32"/>
          <w:highlight w:val="none"/>
        </w:rPr>
        <w:t xml:space="preserve">二、申请人的资格要求</w:t>
      </w:r>
      <w:bookmarkEnd w:id="8"/>
      <w:r/>
      <w:bookmarkEnd w:id="9"/>
      <w:r/>
      <w:bookmarkEnd w:id="10"/>
      <w:r/>
      <w:bookmarkEnd w:id="11"/>
      <w:r/>
      <w:bookmarkEnd w:id="12"/>
      <w:r/>
      <w:r/>
    </w:p>
    <w:p>
      <w:pPr>
        <w:ind w:firstLine="480"/>
        <w:pageBreakBefore w:val="0"/>
        <w:spacing w:line="360" w:lineRule="auto"/>
        <w:widowControl w:val="off"/>
        <w:rPr>
          <w:rFonts w:hint="eastAsia" w:ascii="宋体" w:hAnsi="宋体"/>
          <w:color w:val="auto"/>
          <w:sz w:val="24"/>
          <w:szCs w:val="24"/>
          <w:highlight w:val="none"/>
        </w:rPr>
      </w:pPr>
      <w:r/>
      <w:bookmarkStart w:id="13" w:name="_Toc28359081"/>
      <w:r/>
      <w:bookmarkStart w:id="14" w:name="_Toc35393792"/>
      <w:r/>
      <w:bookmarkStart w:id="15" w:name="_Toc38985265"/>
      <w:r/>
      <w:bookmarkStart w:id="16" w:name="_Toc28359004"/>
      <w:r/>
      <w:bookmarkStart w:id="17" w:name="_Toc35393623"/>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1.1 法人或者其他组织的营业执照等证明文件，自然人的身份证明；</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1.2</w:t>
      </w:r>
      <w:bookmarkStart w:id="18" w:name="OLE_LINK9"/>
      <w:r>
        <w:rPr>
          <w:rFonts w:hint="eastAsia" w:ascii="宋体" w:hAnsi="宋体"/>
          <w:color w:val="auto"/>
          <w:sz w:val="24"/>
          <w:szCs w:val="24"/>
          <w:highlight w:val="none"/>
        </w:rPr>
        <w:t xml:space="preserve">提供2024年度由会计师事务所（或者审计机构）出具的财务报告或投标截止时间前三个月（不含投标截止时间当月）任意一个月的银行资信证明；（成立不满一年无需提供）；</w:t>
      </w:r>
      <w:bookmarkEnd w:id="18"/>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pageBreakBefore w:val="0"/>
        <w:spacing w:line="360" w:lineRule="auto"/>
        <w:widowControl w:val="off"/>
        <w:rPr>
          <w:rFonts w:hint="eastAsia"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w:t>
      </w:r>
      <w:r>
        <w:rPr>
          <w:rFonts w:hint="eastAsia" w:ascii="宋体" w:hAnsi="宋体"/>
          <w:color w:val="auto"/>
          <w:sz w:val="24"/>
          <w:szCs w:val="24"/>
          <w:highlight w:val="none"/>
        </w:rPr>
        <w:t xml:space="preserve">本项目属于</w:t>
      </w:r>
      <w:r>
        <w:rPr>
          <w:rFonts w:hint="eastAsia" w:ascii="宋体" w:hAnsi="宋体"/>
          <w:color w:val="auto"/>
          <w:sz w:val="24"/>
          <w:szCs w:val="24"/>
          <w:highlight w:val="none"/>
          <w:lang w:val="en-US" w:eastAsia="zh-CN"/>
        </w:rPr>
        <w:t xml:space="preserve">非</w:t>
      </w:r>
      <w:r>
        <w:rPr>
          <w:rFonts w:hint="eastAsia" w:ascii="宋体" w:hAnsi="宋体"/>
          <w:color w:val="auto"/>
          <w:sz w:val="24"/>
          <w:szCs w:val="24"/>
          <w:highlight w:val="none"/>
        </w:rPr>
        <w:t xml:space="preserve">专门面向中小企业采购的项目，供应商为中小微企业或监狱企业或残疾人福利性单位，按照采购文件要求提供《中小企业声明函》或《残疾人福利性单位声明函》或监狱和戒毒企业证明材料。</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注明：（1）中小企业应当按照财库（2020）46号文《政府采购促进中小企业发展管理办法》和“工信部联企业〔2011〕300号通知中的《中小企业划型标准规定》为准。如实填写并提交《中小企业声明函》。</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（2）残疾人福利性单位按照《关于促进残疾人就业政府采购政策的通知》（财库〔2017〕141号）有关规定执行。</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（3）监狱企业按照《关于政府采购支持监狱企业发展有关问题的通知》（财库【2014】68号）有关规定执行。</w:t>
      </w:r>
      <w:r/>
    </w:p>
    <w:p>
      <w:pPr>
        <w:ind w:firstLine="372"/>
        <w:keepLines/>
        <w:keepNext/>
        <w:pageBreakBefore w:val="0"/>
        <w:spacing w:before="145" w:after="145" w:line="360" w:lineRule="auto"/>
        <w:widowControl w:val="off"/>
        <w:rPr>
          <w:rFonts w:ascii="宋体" w:hAnsi="宋体" w:cs="宋体"/>
          <w:color w:val="auto"/>
          <w:sz w:val="24"/>
          <w:szCs w:val="24"/>
          <w:highlight w:val="none"/>
        </w:rPr>
        <w:outlineLvl w:val="2"/>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联合体投标（接受/不接受）。</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（二）本项目的特定资格要求</w:t>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olor w:val="auto"/>
          <w:sz w:val="24"/>
          <w:szCs w:val="24"/>
          <w:highlight w:val="none"/>
        </w:rPr>
        <w:t xml:space="preserve">无。</w:t>
      </w:r>
      <w:r/>
    </w:p>
    <w:p>
      <w:pPr>
        <w:ind w:firstLine="498"/>
        <w:keepLines/>
        <w:keepNext/>
        <w:spacing w:before="145" w:after="145" w:line="360" w:lineRule="auto"/>
        <w:rPr>
          <w:b/>
          <w:bCs/>
          <w:color w:val="auto"/>
          <w:sz w:val="32"/>
          <w:szCs w:val="32"/>
          <w:highlight w:val="none"/>
        </w:rPr>
        <w:outlineLvl w:val="2"/>
      </w:pPr>
      <w:r>
        <w:rPr>
          <w:rFonts w:hint="eastAsia"/>
          <w:b/>
          <w:bCs/>
          <w:color w:val="auto"/>
          <w:sz w:val="32"/>
          <w:szCs w:val="32"/>
          <w:highlight w:val="none"/>
        </w:rPr>
        <w:t xml:space="preserve">三、获取招标文件</w:t>
      </w:r>
      <w:bookmarkEnd w:id="13"/>
      <w:r/>
      <w:bookmarkEnd w:id="14"/>
      <w:r/>
      <w:bookmarkEnd w:id="15"/>
      <w:r/>
      <w:bookmarkEnd w:id="16"/>
      <w:r/>
      <w:bookmarkEnd w:id="17"/>
      <w:r/>
      <w:r/>
    </w:p>
    <w:p>
      <w:pPr>
        <w:ind w:firstLine="540"/>
        <w:keepLines w:val="0"/>
        <w:keepNext w:val="0"/>
        <w:pageBreakBefore w:val="0"/>
        <w:spacing w:line="360" w:lineRule="auto"/>
        <w:widowControl w:val="off"/>
        <w:rPr>
          <w:rFonts w:ascii="宋体" w:hAnsi="宋体" w:cs="宋体"/>
          <w:color w:val="auto"/>
          <w:sz w:val="24"/>
          <w:szCs w:val="24"/>
          <w:highlight w:val="none"/>
        </w:rPr>
      </w:pPr>
      <w:r/>
      <w:bookmarkStart w:id="19" w:name="_Toc28359005"/>
      <w:r/>
      <w:bookmarkStart w:id="20" w:name="_Toc28359082"/>
      <w:r/>
      <w:bookmarkStart w:id="21" w:name="_Toc35393793"/>
      <w:r/>
      <w:bookmarkStart w:id="22" w:name="_Toc35393624"/>
      <w:r/>
      <w:bookmarkStart w:id="23" w:name="_Toc38985266"/>
      <w:r>
        <w:rPr>
          <w:rFonts w:hint="eastAsia" w:ascii="宋体" w:hAnsi="宋体" w:cs="宋体"/>
          <w:color w:val="auto"/>
          <w:sz w:val="24"/>
          <w:szCs w:val="24"/>
          <w:highlight w:val="none"/>
        </w:rPr>
        <w:t xml:space="preserve">1.时间：自招标文件公告发布之日起5个工作日。</w:t>
      </w:r>
      <w:r/>
    </w:p>
    <w:p>
      <w:pPr>
        <w:ind w:firstLine="54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2.获取方式：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地点：江苏政府采购网</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获取方式：本项目采用网上注册登记方式。</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2.1潜在供应商访问电子招标响应交易平台的网络地址和方法：</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2.2潜在供应商访问“苏采云”系统的网络地址和方法：“苏采云”系统的网址：http://jszfcg.jsczt.cn/。</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2.3“CA数字证书”的获取：</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2.4采购文件（后缀名为“.kedt”）、供应商操作手册及政府采购客户端工具可通过“苏采云”系统--已报名项目--报名详情页面内相应链接进行下载。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2.5采购人或采购代理机构将数据电文形式的采购文件加载至“苏采云”系统，供潜在供应商下载或者查阅。</w:t>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2.6请潜在供应商提前安装相应的控件（详见《（苏采云）供应商操作手册》）并使用谷歌浏览器登录“苏采云”系统参与不见面开评标。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keepLines w:val="0"/>
        <w:keepNext w:val="0"/>
        <w:pageBreakBefore w:val="0"/>
        <w:spacing w:line="360" w:lineRule="auto"/>
        <w:widowControl w:val="off"/>
        <w:rPr>
          <w:rFonts w:cs="宋体"/>
          <w:b/>
          <w:color w:val="auto"/>
          <w:sz w:val="24"/>
          <w:szCs w:val="24"/>
          <w:highlight w:val="none"/>
        </w:rPr>
      </w:pPr>
      <w:r>
        <w:rPr>
          <w:rFonts w:hint="eastAsia" w:cs="宋体"/>
          <w:b/>
          <w:color w:val="auto"/>
          <w:sz w:val="24"/>
          <w:szCs w:val="24"/>
          <w:highlight w:val="none"/>
        </w:rPr>
        <w:t xml:space="preserve">注：如潜在供应商未按上述要求操作，将自行承担所产生的风险。</w:t>
      </w:r>
      <w:r/>
    </w:p>
    <w:p>
      <w:pPr>
        <w:ind w:firstLine="498"/>
        <w:keepLines/>
        <w:keepNext/>
        <w:spacing w:before="145" w:after="145" w:line="360" w:lineRule="auto"/>
        <w:rPr>
          <w:b/>
          <w:bCs/>
          <w:color w:val="auto"/>
          <w:sz w:val="32"/>
          <w:szCs w:val="32"/>
          <w:highlight w:val="none"/>
        </w:rPr>
        <w:outlineLvl w:val="2"/>
      </w:pPr>
      <w:r>
        <w:rPr>
          <w:rFonts w:hint="eastAsia"/>
          <w:b/>
          <w:bCs/>
          <w:color w:val="auto"/>
          <w:sz w:val="32"/>
          <w:szCs w:val="32"/>
          <w:highlight w:val="none"/>
        </w:rPr>
        <w:t xml:space="preserve">四、提交投标文件</w:t>
      </w:r>
      <w:bookmarkEnd w:id="19"/>
      <w:r/>
      <w:bookmarkEnd w:id="20"/>
      <w:r>
        <w:rPr>
          <w:rFonts w:hint="eastAsia"/>
          <w:b/>
          <w:bCs/>
          <w:color w:val="auto"/>
          <w:sz w:val="32"/>
          <w:szCs w:val="32"/>
          <w:highlight w:val="none"/>
        </w:rPr>
        <w:t xml:space="preserve">截止时间、开标时间和地点</w:t>
      </w:r>
      <w:bookmarkEnd w:id="21"/>
      <w:r/>
      <w:bookmarkEnd w:id="22"/>
      <w:r/>
      <w:bookmarkEnd w:id="23"/>
      <w:r/>
      <w:r/>
    </w:p>
    <w:p>
      <w:pPr>
        <w:ind w:firstLine="480"/>
        <w:keepLines w:val="0"/>
        <w:keepNext w:val="0"/>
        <w:pageBreakBefore w:val="0"/>
        <w:spacing w:line="360" w:lineRule="auto"/>
        <w:widowControl w:val="off"/>
        <w:rPr>
          <w:rFonts w:ascii="宋体" w:hAnsi="宋体"/>
          <w:bCs/>
          <w:color w:val="auto"/>
          <w:sz w:val="24"/>
          <w:szCs w:val="24"/>
          <w:highlight w:val="none"/>
          <w:u w:val="singl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2025年</w:t>
      </w:r>
      <w:r>
        <w:rPr>
          <w:rFonts w:hint="eastAsia" w:ascii="宋体" w:hAnsi="宋体"/>
          <w:bCs/>
          <w:color w:val="auto"/>
          <w:sz w:val="24"/>
          <w:szCs w:val="24"/>
          <w:highlight w:val="none"/>
          <w:u w:val="single"/>
          <w:lang w:val="en-US" w:eastAsia="zh-CN"/>
        </w:rPr>
        <w:t xml:space="preserve">12</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24</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14</w:t>
      </w:r>
      <w:bookmarkStart w:id="209" w:name="_GoBack"/>
      <w:r/>
      <w:bookmarkEnd w:id="209"/>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w:t>
      </w:r>
      <w:r>
        <w:rPr>
          <w:rFonts w:hint="eastAsia" w:ascii="宋体" w:hAnsi="宋体"/>
          <w:bCs/>
          <w:color w:val="auto"/>
          <w:sz w:val="24"/>
          <w:szCs w:val="24"/>
          <w:highlight w:val="none"/>
          <w:u w:val="single"/>
        </w:rPr>
        <w:t xml:space="preserve">0分</w:t>
      </w:r>
      <w:r>
        <w:rPr>
          <w:rFonts w:hint="eastAsia" w:ascii="宋体" w:hAnsi="宋体"/>
          <w:bCs/>
          <w:color w:val="auto"/>
          <w:sz w:val="24"/>
          <w:szCs w:val="24"/>
          <w:highlight w:val="none"/>
        </w:rPr>
        <w:t xml:space="preserve">（北京时间）。</w:t>
      </w:r>
      <w:r/>
    </w:p>
    <w:p>
      <w:pPr>
        <w:ind w:firstLine="480"/>
        <w:keepLines w:val="0"/>
        <w:keepNext w:val="0"/>
        <w:pageBreakBefore w:val="0"/>
        <w:spacing w:line="360" w:lineRule="auto"/>
        <w:widowControl w:val="off"/>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2.地点：“苏采云”政府采购交易系统网上开标大厅。</w:t>
      </w:r>
      <w:r/>
    </w:p>
    <w:p>
      <w:pPr>
        <w:ind w:firstLine="498"/>
        <w:keepLines/>
        <w:keepNext/>
        <w:spacing w:before="145" w:after="145" w:line="360" w:lineRule="auto"/>
        <w:rPr>
          <w:b/>
          <w:bCs/>
          <w:color w:val="auto"/>
          <w:sz w:val="32"/>
          <w:szCs w:val="32"/>
          <w:highlight w:val="none"/>
        </w:rPr>
        <w:outlineLvl w:val="2"/>
      </w:pPr>
      <w:r/>
      <w:bookmarkStart w:id="24" w:name="_Toc38985267"/>
      <w:r/>
      <w:bookmarkStart w:id="25" w:name="_Toc35393625"/>
      <w:r/>
      <w:bookmarkStart w:id="26" w:name="_Toc28359007"/>
      <w:r/>
      <w:bookmarkStart w:id="27" w:name="_Toc28359084"/>
      <w:r/>
      <w:bookmarkStart w:id="28" w:name="_Toc35393794"/>
      <w:r>
        <w:rPr>
          <w:rFonts w:hint="eastAsia"/>
          <w:b/>
          <w:bCs/>
          <w:color w:val="auto"/>
          <w:sz w:val="32"/>
          <w:szCs w:val="32"/>
          <w:highlight w:val="none"/>
        </w:rPr>
        <w:t xml:space="preserve">五、公告期限</w:t>
      </w:r>
      <w:bookmarkEnd w:id="24"/>
      <w:r/>
      <w:bookmarkEnd w:id="25"/>
      <w:r/>
      <w:bookmarkEnd w:id="26"/>
      <w:r/>
      <w:bookmarkEnd w:id="27"/>
      <w:r/>
      <w:bookmarkEnd w:id="28"/>
      <w:r/>
      <w:r/>
    </w:p>
    <w:p>
      <w:pPr>
        <w:ind w:firstLine="480"/>
        <w:rPr>
          <w:rFonts w:ascii="宋体" w:hAnsi="宋体" w:cs="宋体"/>
          <w:color w:val="auto"/>
          <w:sz w:val="24"/>
          <w:szCs w:val="24"/>
          <w:highlight w:val="none"/>
        </w:rPr>
      </w:pPr>
      <w:r/>
      <w:bookmarkStart w:id="29" w:name="_Toc35393626"/>
      <w:r/>
      <w:bookmarkStart w:id="30" w:name="_Toc38985268"/>
      <w:r/>
      <w:bookmarkStart w:id="31" w:name="_Toc35393795"/>
      <w:r>
        <w:rPr>
          <w:rFonts w:hint="eastAsia" w:ascii="宋体" w:hAnsi="宋体" w:cs="宋体"/>
          <w:color w:val="auto"/>
          <w:sz w:val="24"/>
          <w:szCs w:val="24"/>
          <w:highlight w:val="none"/>
        </w:rPr>
        <w:t xml:space="preserve">招标公告及招标文件公告期限为自本公告发布之日起5个工作日。</w:t>
      </w:r>
      <w:r/>
    </w:p>
    <w:p>
      <w:pPr>
        <w:ind w:firstLine="498"/>
        <w:keepLines/>
        <w:keepNext/>
        <w:spacing w:before="145" w:after="145" w:line="360" w:lineRule="auto"/>
        <w:rPr>
          <w:b/>
          <w:bCs/>
          <w:color w:val="auto"/>
          <w:sz w:val="32"/>
          <w:szCs w:val="32"/>
          <w:highlight w:val="none"/>
        </w:rPr>
        <w:outlineLvl w:val="2"/>
      </w:pPr>
      <w:r>
        <w:rPr>
          <w:rFonts w:hint="eastAsia"/>
          <w:b/>
          <w:bCs/>
          <w:color w:val="auto"/>
          <w:sz w:val="32"/>
          <w:szCs w:val="32"/>
          <w:highlight w:val="none"/>
        </w:rPr>
        <w:t xml:space="preserve">六、其他补充事宜</w:t>
      </w:r>
      <w:bookmarkEnd w:id="29"/>
      <w:r/>
      <w:bookmarkEnd w:id="30"/>
      <w:r/>
      <w:bookmarkEnd w:id="31"/>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bookmarkStart w:id="32" w:name="_Toc28359008"/>
      <w:r/>
      <w:bookmarkStart w:id="33" w:name="_Toc28359085"/>
      <w:r/>
      <w:bookmarkStart w:id="34" w:name="_Toc35393627"/>
      <w:r/>
      <w:bookmarkStart w:id="35" w:name="_Toc35393796"/>
      <w:r/>
      <w:bookmarkStart w:id="36" w:name="_Toc38985269"/>
      <w:r>
        <w:rPr>
          <w:rFonts w:hint="eastAsia" w:ascii="宋体" w:hAnsi="宋体" w:cs="宋体"/>
          <w:color w:val="auto"/>
          <w:sz w:val="24"/>
          <w:szCs w:val="24"/>
          <w:highlight w:val="none"/>
        </w:rPr>
        <w:t xml:space="preserve">1、本次招标不收取投标保证金。</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、项目演示、样品、答辩等：无。</w:t>
      </w:r>
      <w:r/>
    </w:p>
    <w:p>
      <w:pPr>
        <w:ind w:firstLine="480"/>
        <w:jc w:val="left"/>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宋体" w:hAnsi="宋体"/>
          <w:color w:val="auto"/>
          <w:sz w:val="24"/>
          <w:szCs w:val="24"/>
          <w:highlight w:val="none"/>
          <w:lang w:val="en-US" w:eastAsia="zh-CN"/>
        </w:rPr>
        <w:t xml:space="preserve">招标代理机构</w:t>
      </w:r>
      <w:r>
        <w:rPr>
          <w:rFonts w:hint="eastAsia" w:ascii="宋体" w:hAnsi="宋体"/>
          <w:color w:val="auto"/>
          <w:sz w:val="24"/>
          <w:szCs w:val="24"/>
          <w:highlight w:val="none"/>
        </w:rPr>
        <w:t xml:space="preserve">提出，由</w:t>
      </w:r>
      <w:r>
        <w:rPr>
          <w:rFonts w:hint="eastAsia" w:ascii="宋体" w:hAnsi="宋体"/>
          <w:color w:val="auto"/>
          <w:sz w:val="24"/>
          <w:szCs w:val="24"/>
          <w:highlight w:val="none"/>
          <w:lang w:val="en-US" w:eastAsia="zh-CN"/>
        </w:rPr>
        <w:t xml:space="preserve">招标代理机构</w:t>
      </w:r>
      <w:r>
        <w:rPr>
          <w:rFonts w:hint="eastAsia" w:ascii="宋体" w:hAnsi="宋体"/>
          <w:color w:val="auto"/>
          <w:sz w:val="24"/>
          <w:szCs w:val="24"/>
          <w:highlight w:val="none"/>
        </w:rPr>
        <w:t xml:space="preserve">负责答复。</w:t>
      </w:r>
      <w:r/>
    </w:p>
    <w:p>
      <w:pPr>
        <w:ind w:firstLine="480"/>
        <w:jc w:val="left"/>
        <w:keepLines w:val="0"/>
        <w:keepNext w:val="0"/>
        <w:pageBreakBefore w:val="0"/>
        <w:spacing w:line="360" w:lineRule="auto"/>
        <w:widowControl w:val="off"/>
        <w:rPr>
          <w:bCs/>
          <w:color w:val="auto"/>
          <w:sz w:val="24"/>
          <w:szCs w:val="24"/>
          <w:highlight w:val="none"/>
        </w:rPr>
      </w:pPr>
      <w:r>
        <w:rPr>
          <w:rFonts w:hint="eastAsia"/>
          <w:bCs/>
          <w:color w:val="auto"/>
          <w:sz w:val="24"/>
          <w:szCs w:val="24"/>
          <w:highlight w:val="none"/>
          <w:lang w:val="en-US" w:eastAsia="zh-CN"/>
        </w:rPr>
        <w:t xml:space="preserve">4</w:t>
      </w:r>
      <w:r>
        <w:rPr>
          <w:rFonts w:hint="eastAsia"/>
          <w:bCs/>
          <w:color w:val="auto"/>
          <w:sz w:val="24"/>
          <w:szCs w:val="24"/>
          <w:highlight w:val="none"/>
        </w:rPr>
        <w:t xml:space="preserve">、供应商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98"/>
        <w:keepLines/>
        <w:keepNext/>
        <w:spacing w:before="145" w:after="145" w:line="360" w:lineRule="auto"/>
        <w:rPr>
          <w:b/>
          <w:bCs/>
          <w:color w:val="auto"/>
          <w:sz w:val="32"/>
          <w:szCs w:val="32"/>
          <w:highlight w:val="none"/>
        </w:rPr>
        <w:outlineLvl w:val="2"/>
      </w:pPr>
      <w:r>
        <w:rPr>
          <w:rFonts w:hint="eastAsia"/>
          <w:b/>
          <w:bCs/>
          <w:color w:val="auto"/>
          <w:sz w:val="32"/>
          <w:szCs w:val="32"/>
          <w:highlight w:val="none"/>
        </w:rPr>
        <w:t xml:space="preserve">七、本次招标联系方式</w:t>
      </w:r>
      <w:bookmarkEnd w:id="32"/>
      <w:r/>
      <w:bookmarkEnd w:id="33"/>
      <w:r/>
      <w:bookmarkEnd w:id="34"/>
      <w:r/>
      <w:bookmarkEnd w:id="35"/>
      <w:r/>
      <w:bookmarkEnd w:id="36"/>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采购人信息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lang w:eastAsia="zh-CN"/>
        </w:rPr>
        <w:t xml:space="preserve">南通市通州区数据局</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rPr>
        <w:t xml:space="preserve">南通市通州区碧华路197号</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耿先生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051386028991 </w:t>
      </w:r>
      <w:r>
        <w:rPr>
          <w:rFonts w:hint="eastAsia" w:ascii="宋体" w:hAnsi="宋体" w:eastAsia="宋体" w:cs="宋体"/>
          <w:color w:val="auto"/>
          <w:sz w:val="24"/>
          <w:szCs w:val="24"/>
          <w:highlight w:val="none"/>
        </w:rPr>
        <w:t xml:space="preserve">　　 </w:t>
      </w:r>
      <w:bookmarkStart w:id="37" w:name="_Toc28359009"/>
      <w:r/>
      <w:bookmarkStart w:id="38" w:name="_Toc28359086"/>
      <w:r/>
      <w:bookmarkEnd w:id="37"/>
      <w:bookmarkEnd w:id="38"/>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 南通建仁房地产评估工程项目管理有限公司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址：南通市通州区锦绣路118号锦安妮纺织品有限公司办公楼三楼</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bookmarkStart w:id="39" w:name="OLE_LINK1"/>
      <w:r>
        <w:rPr>
          <w:rFonts w:hint="eastAsia" w:ascii="宋体" w:hAnsi="宋体" w:eastAsia="宋体" w:cs="宋体"/>
          <w:color w:val="auto"/>
          <w:sz w:val="24"/>
          <w:szCs w:val="24"/>
          <w:highlight w:val="none"/>
        </w:rPr>
        <w:t xml:space="preserve">陈先生、秦女士</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话：15062737585、15996537148</w:t>
      </w:r>
      <w:bookmarkEnd w:id="39"/>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交易系统软件维护人员：0513-59001950 0519-86722801</w:t>
      </w:r>
      <w:r/>
    </w:p>
    <w:p>
      <w:pPr>
        <w:ind w:firstLine="2429"/>
        <w:keepLines/>
        <w:keepNext/>
        <w:spacing w:before="260" w:after="260" w:line="416" w:lineRule="auto"/>
        <w:rPr>
          <w:rFonts w:hint="eastAsia" w:ascii="黑体" w:hAnsi="Arial" w:eastAsia="黑体" w:cs="Arial"/>
          <w:color w:val="auto"/>
          <w:sz w:val="44"/>
          <w:szCs w:val="44"/>
          <w:highlight w:val="none"/>
        </w:rPr>
        <w:outlineLvl w:val="1"/>
      </w:pPr>
      <w:r/>
      <w:bookmarkStart w:id="40" w:name="_Toc120614211"/>
      <w:r>
        <w:rPr>
          <w:rFonts w:ascii="黑体" w:hAnsi="Arial" w:eastAsia="黑体" w:cs="Arial"/>
          <w:b/>
          <w:bCs/>
          <w:color w:val="auto"/>
          <w:sz w:val="44"/>
          <w:szCs w:val="44"/>
          <w:highlight w:val="none"/>
        </w:rPr>
        <w:br w:type="page" w:clear="all"/>
      </w:r>
      <w:r>
        <w:rPr>
          <w:rFonts w:hint="eastAsia" w:ascii="黑体" w:hAnsi="Arial" w:eastAsia="黑体" w:cs="Arial"/>
          <w:b/>
          <w:bCs/>
          <w:color w:val="auto"/>
          <w:sz w:val="44"/>
          <w:szCs w:val="44"/>
          <w:highlight w:val="none"/>
        </w:rPr>
        <w:t xml:space="preserve">第二章  </w:t>
      </w:r>
      <w:bookmarkEnd w:id="40"/>
      <w:r/>
      <w:bookmarkStart w:id="41" w:name="_Toc16938518"/>
      <w:r/>
      <w:bookmarkStart w:id="42" w:name="_Toc513029202"/>
      <w:r/>
      <w:bookmarkStart w:id="43" w:name="_Toc20823274"/>
      <w:r/>
      <w:bookmarkStart w:id="44" w:name="_Toc120614213"/>
      <w:r>
        <w:rPr>
          <w:rFonts w:hint="eastAsia" w:ascii="黑体" w:hAnsi="Arial" w:eastAsia="黑体" w:cs="Arial"/>
          <w:b/>
          <w:bCs/>
          <w:color w:val="auto"/>
          <w:sz w:val="44"/>
          <w:szCs w:val="44"/>
          <w:highlight w:val="none"/>
        </w:rPr>
        <w:t xml:space="preserve">投标人须知</w:t>
      </w:r>
      <w:bookmarkEnd w:id="41"/>
      <w:r/>
      <w:bookmarkEnd w:id="42"/>
      <w:r/>
      <w:bookmarkEnd w:id="43"/>
      <w:r/>
      <w:bookmarkEnd w:id="44"/>
      <w:r/>
      <w:r/>
    </w:p>
    <w:p>
      <w:pPr>
        <w:ind w:firstLine="498"/>
        <w:keepLines/>
        <w:keepNext/>
        <w:pageBreakBefore w:val="0"/>
        <w:spacing w:before="145" w:after="145" w:line="360" w:lineRule="auto"/>
        <w:widowControl w:val="off"/>
        <w:rPr>
          <w:rFonts w:hint="eastAsia"/>
          <w:b/>
          <w:bCs/>
          <w:color w:val="auto"/>
          <w:sz w:val="32"/>
          <w:szCs w:val="32"/>
          <w:highlight w:val="none"/>
        </w:rPr>
        <w:outlineLvl w:val="2"/>
      </w:pPr>
      <w:r/>
      <w:bookmarkStart w:id="45" w:name="_Toc20823275"/>
      <w:r/>
      <w:bookmarkStart w:id="46" w:name="_Toc513029203"/>
      <w:r/>
      <w:bookmarkStart w:id="47" w:name="_Toc16938519"/>
      <w:r/>
      <w:bookmarkStart w:id="48" w:name="_Toc120614214"/>
      <w:r>
        <w:rPr>
          <w:rFonts w:hint="eastAsia"/>
          <w:b/>
          <w:bCs/>
          <w:color w:val="auto"/>
          <w:sz w:val="32"/>
          <w:szCs w:val="32"/>
          <w:highlight w:val="none"/>
        </w:rPr>
        <w:t xml:space="preserve">一、总则</w:t>
      </w:r>
      <w:bookmarkEnd w:id="45"/>
      <w:r/>
      <w:bookmarkEnd w:id="46"/>
      <w:r/>
      <w:bookmarkEnd w:id="47"/>
      <w:r/>
      <w:bookmarkEnd w:id="48"/>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49" w:name="_Hlt16619475"/>
      <w:r/>
      <w:bookmarkEnd w:id="49"/>
      <w:r/>
      <w:bookmarkStart w:id="50" w:name="_Toc458694821"/>
      <w:r/>
      <w:bookmarkStart w:id="51" w:name="_Toc513029204"/>
      <w:r/>
      <w:bookmarkStart w:id="52" w:name="_Toc20823276"/>
      <w:r/>
      <w:bookmarkStart w:id="53" w:name="_Toc16938520"/>
      <w:r>
        <w:rPr>
          <w:rFonts w:hint="eastAsia" w:ascii="Arial" w:hAnsi="Arial" w:eastAsia="黑体" w:cs="Arial"/>
          <w:color w:val="auto"/>
          <w:sz w:val="28"/>
          <w:szCs w:val="28"/>
          <w:highlight w:val="none"/>
        </w:rPr>
        <w:t xml:space="preserve">1</w:t>
      </w:r>
      <w:bookmarkEnd w:id="50"/>
      <w:r>
        <w:rPr>
          <w:rFonts w:hint="eastAsia" w:ascii="Arial" w:hAnsi="Arial" w:eastAsia="黑体" w:cs="Arial"/>
          <w:color w:val="auto"/>
          <w:sz w:val="28"/>
          <w:szCs w:val="28"/>
          <w:highlight w:val="none"/>
        </w:rPr>
        <w:t xml:space="preserve">、招标方式</w:t>
      </w:r>
      <w:bookmarkEnd w:id="51"/>
      <w:r/>
      <w:bookmarkEnd w:id="52"/>
      <w:r/>
      <w:bookmarkEnd w:id="53"/>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1.1 本次招标采取公开招标方式，本招标文件仅适用于招标公告中所述项目。</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54" w:name="_Toc20823277"/>
      <w:r/>
      <w:bookmarkStart w:id="55" w:name="_Toc16938521"/>
      <w:r/>
      <w:bookmarkStart w:id="56" w:name="_Toc513029205"/>
      <w:r>
        <w:rPr>
          <w:rFonts w:hint="eastAsia" w:ascii="Arial" w:hAnsi="Arial" w:eastAsia="黑体" w:cs="Arial"/>
          <w:color w:val="auto"/>
          <w:sz w:val="28"/>
          <w:szCs w:val="28"/>
          <w:highlight w:val="none"/>
        </w:rPr>
        <w:t xml:space="preserve">2、合格的投标人</w:t>
      </w:r>
      <w:bookmarkEnd w:id="54"/>
      <w:r/>
      <w:bookmarkEnd w:id="55"/>
      <w:r/>
      <w:bookmarkEnd w:id="56"/>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2.1满足招标公告中投标人的资格要求的规定。</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2.2 满足本文件实质性要求和条件的规定。</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57" w:name="_Toc513029206"/>
      <w:r/>
      <w:bookmarkStart w:id="58" w:name="_Toc20823278"/>
      <w:r/>
      <w:bookmarkStart w:id="59" w:name="_Toc16938522"/>
      <w:r>
        <w:rPr>
          <w:rFonts w:hint="eastAsia" w:ascii="Arial" w:hAnsi="Arial" w:eastAsia="黑体" w:cs="Arial"/>
          <w:color w:val="auto"/>
          <w:sz w:val="28"/>
          <w:szCs w:val="28"/>
          <w:highlight w:val="none"/>
        </w:rPr>
        <w:t xml:space="preserve">3、适用法律</w:t>
      </w:r>
      <w:bookmarkEnd w:id="57"/>
      <w:r/>
      <w:bookmarkEnd w:id="58"/>
      <w:r/>
      <w:bookmarkEnd w:id="59"/>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3.1本次招标及由此产生的合同受中华人民共和国有关的法律法规制约和保护</w:t>
      </w:r>
      <w:r>
        <w:rPr>
          <w:rFonts w:ascii="宋体" w:hAnsi="宋体"/>
          <w:color w:val="auto"/>
          <w:sz w:val="24"/>
          <w:szCs w:val="21"/>
          <w:highlight w:val="none"/>
        </w:rPr>
        <w:t xml:space="preserve">。</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60" w:name="_Toc513029207"/>
      <w:r/>
      <w:bookmarkStart w:id="61" w:name="_Toc20823279"/>
      <w:r/>
      <w:bookmarkStart w:id="62" w:name="_Toc462564067"/>
      <w:r/>
      <w:bookmarkStart w:id="63" w:name="_Toc16938523"/>
      <w:r>
        <w:rPr>
          <w:rFonts w:hint="eastAsia" w:ascii="Arial" w:hAnsi="Arial" w:eastAsia="黑体" w:cs="Arial"/>
          <w:color w:val="auto"/>
          <w:sz w:val="28"/>
          <w:szCs w:val="28"/>
          <w:highlight w:val="none"/>
        </w:rPr>
        <w:t xml:space="preserve">4、投标费用</w:t>
      </w:r>
      <w:bookmarkEnd w:id="60"/>
      <w:r/>
      <w:bookmarkEnd w:id="61"/>
      <w:r/>
      <w:bookmarkEnd w:id="62"/>
      <w:r/>
      <w:bookmarkEnd w:id="63"/>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4.1 投标人应自行承担所有与参加投标有关的费用，无论投标过程中的做法和结果如何，采购人在任何情况下均无义务和责任承担这些费用。</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4.2本次招标交易中心和采购人不收取标书工本费与中标服务费。</w:t>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olor w:val="auto"/>
          <w:sz w:val="24"/>
          <w:szCs w:val="21"/>
          <w:highlight w:val="none"/>
        </w:rPr>
        <w:t xml:space="preserve">4.3本次项目招标代理费</w:t>
      </w:r>
      <w:r>
        <w:rPr>
          <w:rFonts w:hint="eastAsia" w:ascii="宋体" w:hAnsi="宋体"/>
          <w:color w:val="auto"/>
          <w:sz w:val="24"/>
          <w:szCs w:val="21"/>
          <w:highlight w:val="none"/>
          <w:lang w:eastAsia="zh-CN"/>
        </w:rPr>
        <w:t xml:space="preserve">：</w:t>
      </w:r>
      <w:r>
        <w:rPr>
          <w:rFonts w:ascii="宋体" w:hAnsi="宋体" w:cs="宋体"/>
          <w:color w:val="auto"/>
          <w:sz w:val="24"/>
          <w:szCs w:val="24"/>
          <w:highlight w:val="none"/>
        </w:rPr>
        <w:t xml:space="preserve">按照《关于印发江苏省招标代理服务收费的指导意见》苏招协【2022】002文差额定率分档累进法计算汇总后的</w:t>
      </w:r>
      <w:r>
        <w:rPr>
          <w:rFonts w:hint="eastAsia" w:ascii="宋体" w:hAnsi="宋体" w:cs="宋体"/>
          <w:color w:val="auto"/>
          <w:sz w:val="24"/>
          <w:szCs w:val="24"/>
          <w:highlight w:val="none"/>
          <w:lang w:val="en-US" w:eastAsia="zh-CN"/>
        </w:rPr>
        <w:t xml:space="preserve">4</w:t>
      </w:r>
      <w:r>
        <w:rPr>
          <w:rFonts w:ascii="宋体" w:hAnsi="宋体" w:cs="宋体"/>
          <w:color w:val="auto"/>
          <w:sz w:val="24"/>
          <w:szCs w:val="24"/>
          <w:highlight w:val="none"/>
        </w:rPr>
        <w:t xml:space="preserve">0%计取，由</w:t>
      </w:r>
      <w:r>
        <w:rPr>
          <w:rFonts w:hint="eastAsia" w:ascii="宋体" w:hAnsi="宋体" w:cs="宋体"/>
          <w:color w:val="auto"/>
          <w:sz w:val="24"/>
          <w:szCs w:val="24"/>
          <w:highlight w:val="none"/>
          <w:lang w:val="en-US" w:eastAsia="zh-CN"/>
        </w:rPr>
        <w:t xml:space="preserve">中标</w:t>
      </w:r>
      <w:r>
        <w:rPr>
          <w:rFonts w:ascii="宋体" w:hAnsi="宋体" w:cs="宋体"/>
          <w:color w:val="auto"/>
          <w:sz w:val="24"/>
          <w:szCs w:val="24"/>
          <w:highlight w:val="none"/>
        </w:rPr>
        <w:t xml:space="preserve">单位支付，报价时综合考虑。</w:t>
      </w:r>
      <w:r/>
    </w:p>
    <w:p>
      <w:pPr>
        <w:ind w:firstLine="420"/>
        <w:jc w:val="center"/>
        <w:spacing w:line="360" w:lineRule="auto"/>
        <w:tabs>
          <w:tab w:val="left" w:pos="900" w:leader="none"/>
        </w:tabs>
        <w:rPr>
          <w:rFonts w:hint="eastAsia" w:ascii="宋体" w:hAnsi="宋体" w:eastAsia="宋体" w:cs="Times New Roman"/>
          <w:color w:val="auto"/>
          <w:sz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3381375" cy="71818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rcRect l="0" t="0" r="0" b="22842"/>
                        <a:stretch/>
                      </pic:blipFill>
                      <pic:spPr bwMode="auto">
                        <a:xfrm>
                          <a:off x="0" y="0"/>
                          <a:ext cx="3381883" cy="718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66.2pt;height:56.5pt;mso-wrap-distance-left:0.0pt;mso-wrap-distance-top:0.0pt;mso-wrap-distance-right:0.0pt;mso-wrap-distance-bottom:0.0pt;" stroked="f">
                <v:path textboxrect="0,0,0,0"/>
                <v:imagedata r:id="rId20" o:title=""/>
              </v:shape>
            </w:pict>
          </mc:Fallback>
        </mc:AlternateContent>
      </w:r>
      <w:r/>
    </w:p>
    <w:p>
      <w:pPr>
        <w:ind w:firstLine="48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本项目</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金额高于50万元的计算：【1万元+（成交价-50万元）*1.5%】*</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0%</w:t>
      </w:r>
      <w:r/>
    </w:p>
    <w:p>
      <w:pPr>
        <w:ind w:firstLine="602"/>
        <w:keepLines/>
        <w:keepNext/>
        <w:pageBreakBefore w:val="0"/>
        <w:spacing w:line="360" w:lineRule="auto"/>
        <w:widowControl w:val="off"/>
        <w:rPr>
          <w:rFonts w:hint="eastAsia" w:ascii="黑体" w:hAnsi="宋体" w:eastAsia="黑体" w:cs="Arial"/>
          <w:color w:val="auto"/>
          <w:sz w:val="28"/>
          <w:szCs w:val="28"/>
          <w:highlight w:val="none"/>
        </w:rPr>
        <w:outlineLvl w:val="3"/>
      </w:pPr>
      <w:r>
        <w:rPr>
          <w:rFonts w:hint="eastAsia" w:ascii="宋体" w:hAnsi="宋体" w:eastAsia="黑体" w:cs="Arial"/>
          <w:b/>
          <w:bCs/>
          <w:color w:val="auto"/>
          <w:sz w:val="30"/>
          <w:szCs w:val="28"/>
          <w:highlight w:val="none"/>
        </w:rPr>
        <w:t xml:space="preserve">5、</w:t>
      </w:r>
      <w:r>
        <w:rPr>
          <w:rFonts w:hint="eastAsia" w:ascii="黑体" w:hAnsi="宋体" w:eastAsia="黑体" w:cs="Arial"/>
          <w:color w:val="auto"/>
          <w:sz w:val="28"/>
          <w:szCs w:val="28"/>
          <w:highlight w:val="none"/>
        </w:rPr>
        <w:t xml:space="preserve">招标文件的约束力</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ind w:firstLine="321"/>
        <w:keepLines/>
        <w:keepNext/>
        <w:pageBreakBefore w:val="0"/>
        <w:spacing w:before="145" w:after="145" w:line="360" w:lineRule="auto"/>
        <w:widowControl w:val="off"/>
        <w:rPr>
          <w:rFonts w:hint="eastAsia"/>
          <w:b/>
          <w:bCs/>
          <w:color w:val="auto"/>
          <w:sz w:val="32"/>
          <w:szCs w:val="32"/>
          <w:highlight w:val="none"/>
        </w:rPr>
        <w:outlineLvl w:val="2"/>
      </w:pPr>
      <w:r/>
      <w:bookmarkStart w:id="64" w:name="_Toc120614215"/>
      <w:r/>
      <w:bookmarkStart w:id="65" w:name="_Toc16938525"/>
      <w:r/>
      <w:bookmarkStart w:id="66" w:name="_Toc20823281"/>
      <w:r/>
      <w:bookmarkStart w:id="67" w:name="_Toc513029209"/>
      <w:r>
        <w:rPr>
          <w:rFonts w:hint="eastAsia"/>
          <w:b/>
          <w:bCs/>
          <w:color w:val="auto"/>
          <w:sz w:val="32"/>
          <w:szCs w:val="32"/>
          <w:highlight w:val="none"/>
        </w:rPr>
        <w:t xml:space="preserve">二、招标文件</w:t>
      </w:r>
      <w:bookmarkEnd w:id="64"/>
      <w:r/>
      <w:bookmarkEnd w:id="65"/>
      <w:r/>
      <w:bookmarkEnd w:id="66"/>
      <w:r/>
      <w:bookmarkEnd w:id="67"/>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68" w:name="_Toc513029210"/>
      <w:r/>
      <w:bookmarkStart w:id="69" w:name="_Toc20823282"/>
      <w:r/>
      <w:bookmarkStart w:id="70" w:name="_Toc16938526"/>
      <w:r>
        <w:rPr>
          <w:rFonts w:hint="eastAsia" w:ascii="Arial" w:hAnsi="Arial" w:eastAsia="黑体" w:cs="Arial"/>
          <w:color w:val="auto"/>
          <w:sz w:val="28"/>
          <w:szCs w:val="28"/>
          <w:highlight w:val="none"/>
        </w:rPr>
        <w:t xml:space="preserve">6、招标文件构成</w:t>
      </w:r>
      <w:bookmarkEnd w:id="68"/>
      <w:r/>
      <w:bookmarkEnd w:id="69"/>
      <w:r/>
      <w:bookmarkEnd w:id="70"/>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 招标文件由以下部分组成：</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pageBreakBefore w:val="0"/>
        <w:spacing w:line="360" w:lineRule="auto"/>
        <w:widowControl w:val="off"/>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36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请仔细检查招标文件是否齐全，如有缺漏请立即与采购代理机构联系解决。</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71" w:name="_Toc462564070"/>
      <w:r/>
      <w:bookmarkStart w:id="72" w:name="_Toc16938527"/>
      <w:r/>
      <w:bookmarkStart w:id="73" w:name="_Toc20823283"/>
      <w:r/>
      <w:bookmarkStart w:id="74" w:name="_Toc513029211"/>
      <w:r>
        <w:rPr>
          <w:rFonts w:hint="eastAsia" w:ascii="Arial" w:hAnsi="Arial" w:eastAsia="黑体" w:cs="Arial"/>
          <w:color w:val="auto"/>
          <w:sz w:val="28"/>
          <w:szCs w:val="28"/>
          <w:highlight w:val="none"/>
        </w:rPr>
        <w:t xml:space="preserve">7、招标文件的澄清</w:t>
      </w:r>
      <w:bookmarkEnd w:id="71"/>
      <w:r/>
      <w:bookmarkEnd w:id="72"/>
      <w:r/>
      <w:bookmarkEnd w:id="73"/>
      <w:r/>
      <w:bookmarkEnd w:id="74"/>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7.1 </w:t>
      </w:r>
      <w:bookmarkStart w:id="75" w:name="_Toc20823284"/>
      <w:r/>
      <w:bookmarkStart w:id="76" w:name="_Toc513029212"/>
      <w:r/>
      <w:bookmarkStart w:id="77" w:name="_Toc16938528"/>
      <w:r/>
      <w:bookmarkStart w:id="78" w:name="_Toc462564071"/>
      <w:r>
        <w:rPr>
          <w:rFonts w:hint="eastAsia" w:ascii="宋体" w:hAnsi="宋体"/>
          <w:color w:val="auto"/>
          <w:sz w:val="24"/>
          <w:szCs w:val="21"/>
          <w:highlight w:val="none"/>
        </w:rPr>
        <w:t xml:space="preserve">任何要求对招标文件进行澄清的投标人，应在投标截止期十日前按招标公告中的通讯地址，以书面形式通知</w:t>
      </w:r>
      <w:r>
        <w:rPr>
          <w:rFonts w:hint="eastAsia" w:ascii="宋体" w:hAnsi="宋体"/>
          <w:color w:val="auto"/>
          <w:sz w:val="24"/>
          <w:highlight w:val="none"/>
        </w:rPr>
        <w:t xml:space="preserve">采购人及代理机构</w:t>
      </w:r>
      <w:r>
        <w:rPr>
          <w:rFonts w:hint="eastAsia" w:ascii="宋体" w:hAnsi="宋体"/>
          <w:color w:val="auto"/>
          <w:sz w:val="24"/>
          <w:szCs w:val="21"/>
          <w:highlight w:val="none"/>
        </w:rPr>
        <w:t xml:space="preserve">。采购人有权对发出的招标文件进行必要的澄清或修改。</w:t>
      </w:r>
      <w:r/>
    </w:p>
    <w:p>
      <w:pPr>
        <w:ind w:firstLine="560"/>
        <w:pageBreakBefore w:val="0"/>
        <w:spacing w:line="360" w:lineRule="auto"/>
        <w:widowControl w:val="off"/>
        <w:rPr>
          <w:rFonts w:hint="eastAsia" w:ascii="Arial" w:hAnsi="Arial" w:eastAsia="黑体" w:cs="Arial"/>
          <w:color w:val="auto"/>
          <w:sz w:val="28"/>
          <w:szCs w:val="28"/>
          <w:highlight w:val="none"/>
        </w:rPr>
      </w:pPr>
      <w:r>
        <w:rPr>
          <w:rFonts w:hint="eastAsia" w:ascii="Arial" w:hAnsi="Arial" w:eastAsia="黑体" w:cs="Arial"/>
          <w:color w:val="auto"/>
          <w:sz w:val="28"/>
          <w:szCs w:val="28"/>
          <w:highlight w:val="none"/>
        </w:rPr>
        <w:t xml:space="preserve">8、招标文件的修改</w:t>
      </w:r>
      <w:bookmarkEnd w:id="75"/>
      <w:r/>
      <w:bookmarkEnd w:id="76"/>
      <w:r/>
      <w:bookmarkEnd w:id="77"/>
      <w:r/>
      <w:bookmarkEnd w:id="78"/>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在投标截止时间十五日</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，采购人可以对招标文件进行修改。</w:t>
      </w:r>
      <w:r/>
    </w:p>
    <w:p>
      <w:pPr>
        <w:ind w:firstLine="480"/>
        <w:pageBreakBefore w:val="0"/>
        <w:spacing w:line="360" w:lineRule="auto"/>
        <w:widowControl w:val="off"/>
        <w:rPr>
          <w:rFonts w:hint="eastAsia" w:ascii="宋体" w:hAnsi="Arial"/>
          <w:color w:val="auto"/>
          <w:sz w:val="28"/>
          <w:szCs w:val="21"/>
          <w:highlight w:val="none"/>
        </w:rPr>
      </w:pPr>
      <w:r>
        <w:rPr>
          <w:rFonts w:hint="eastAsia" w:ascii="宋体" w:hAnsi="宋体"/>
          <w:bCs/>
          <w:color w:val="auto"/>
          <w:sz w:val="24"/>
          <w:szCs w:val="21"/>
          <w:highlight w:val="none"/>
        </w:rPr>
        <w:t xml:space="preserve">8.2 </w:t>
      </w:r>
      <w:r>
        <w:rPr>
          <w:rFonts w:hint="eastAsia" w:ascii="宋体" w:hAnsi="宋体"/>
          <w:color w:val="auto"/>
          <w:sz w:val="24"/>
          <w:szCs w:val="21"/>
          <w:highlight w:val="none"/>
        </w:rPr>
        <w:t xml:space="preserve">采购人</w:t>
      </w:r>
      <w:r>
        <w:rPr>
          <w:rFonts w:hint="eastAsia" w:ascii="宋体" w:hAnsi="宋体"/>
          <w:color w:val="auto"/>
          <w:sz w:val="24"/>
          <w:szCs w:val="24"/>
          <w:highlight w:val="none"/>
        </w:rPr>
        <w:t xml:space="preserve">有权按照法定的要求</w:t>
      </w:r>
      <w:r>
        <w:rPr>
          <w:rFonts w:hint="eastAsia" w:ascii="宋体" w:hAnsi="宋体"/>
          <w:color w:val="auto"/>
          <w:sz w:val="24"/>
          <w:szCs w:val="21"/>
          <w:highlight w:val="none"/>
        </w:rPr>
        <w:t xml:space="preserve">推迟投标截止日期和开标日期。</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8.3 </w:t>
      </w:r>
      <w:r>
        <w:rPr>
          <w:rFonts w:hint="eastAsia" w:ascii="宋体" w:hAnsi="宋体"/>
          <w:color w:val="auto"/>
          <w:sz w:val="24"/>
          <w:szCs w:val="21"/>
          <w:highlight w:val="none"/>
        </w:rPr>
        <w:t xml:space="preserve">招标文件的修改将在江苏政府采购网公布，</w:t>
      </w:r>
      <w:r>
        <w:rPr>
          <w:rFonts w:hint="eastAsia" w:ascii="宋体" w:hAnsi="宋体"/>
          <w:color w:val="auto"/>
          <w:sz w:val="24"/>
          <w:szCs w:val="24"/>
          <w:highlight w:val="none"/>
        </w:rPr>
        <w:t xml:space="preserve">补充文件将作为招标文件的组成部分，</w:t>
      </w:r>
      <w:r>
        <w:rPr>
          <w:rFonts w:hint="eastAsia" w:ascii="宋体" w:hAnsi="宋体"/>
          <w:color w:val="auto"/>
          <w:sz w:val="24"/>
          <w:szCs w:val="21"/>
          <w:highlight w:val="none"/>
        </w:rPr>
        <w:t xml:space="preserve">并对投标人具有约束力。</w:t>
      </w:r>
      <w:r/>
    </w:p>
    <w:p>
      <w:pPr>
        <w:ind w:firstLine="482"/>
        <w:keepLines/>
        <w:keepNext/>
        <w:pageBreakBefore w:val="0"/>
        <w:spacing w:before="145" w:after="145" w:line="360" w:lineRule="auto"/>
        <w:widowControl w:val="off"/>
        <w:rPr>
          <w:rFonts w:hint="eastAsia"/>
          <w:b/>
          <w:bCs/>
          <w:color w:val="auto"/>
          <w:sz w:val="32"/>
          <w:szCs w:val="32"/>
          <w:highlight w:val="none"/>
        </w:rPr>
        <w:outlineLvl w:val="2"/>
      </w:pPr>
      <w:r/>
      <w:bookmarkStart w:id="79" w:name="_Toc462564072"/>
      <w:r/>
      <w:bookmarkStart w:id="80" w:name="_Toc513029213"/>
      <w:r/>
      <w:bookmarkStart w:id="81" w:name="_Toc120614216"/>
      <w:r/>
      <w:bookmarkStart w:id="82" w:name="_Toc16938529"/>
      <w:r/>
      <w:bookmarkStart w:id="83" w:name="_Toc20823285"/>
      <w:r>
        <w:rPr>
          <w:rFonts w:hint="eastAsia"/>
          <w:b/>
          <w:bCs/>
          <w:color w:val="auto"/>
          <w:sz w:val="32"/>
          <w:szCs w:val="32"/>
          <w:highlight w:val="none"/>
        </w:rPr>
        <w:t xml:space="preserve">三、投标文件的编制</w:t>
      </w:r>
      <w:bookmarkEnd w:id="79"/>
      <w:r/>
      <w:bookmarkEnd w:id="80"/>
      <w:r/>
      <w:bookmarkEnd w:id="81"/>
      <w:r/>
      <w:bookmarkEnd w:id="82"/>
      <w:r/>
      <w:bookmarkEnd w:id="83"/>
      <w:r/>
      <w:r/>
    </w:p>
    <w:p>
      <w:pPr>
        <w:ind w:firstLine="560"/>
        <w:keepLines/>
        <w:keepNext/>
        <w:pageBreakBefore w:val="0"/>
        <w:spacing w:line="360" w:lineRule="auto"/>
        <w:widowControl w:val="off"/>
        <w:rPr>
          <w:rFonts w:hint="eastAsia" w:ascii="Arial" w:hAnsi="Arial" w:eastAsia="黑体" w:cs="Arial"/>
          <w:b/>
          <w:color w:val="auto"/>
          <w:sz w:val="28"/>
          <w:szCs w:val="28"/>
          <w:highlight w:val="none"/>
        </w:rPr>
        <w:outlineLvl w:val="3"/>
      </w:pPr>
      <w:r/>
      <w:bookmarkStart w:id="84" w:name="_Toc513029214"/>
      <w:r/>
      <w:bookmarkStart w:id="85" w:name="_Toc20823286"/>
      <w:r/>
      <w:bookmarkStart w:id="86" w:name="_Toc462564073"/>
      <w:r/>
      <w:bookmarkStart w:id="87" w:name="_Toc16938530"/>
      <w:r>
        <w:rPr>
          <w:rFonts w:hint="eastAsia" w:ascii="Arial" w:hAnsi="Arial" w:eastAsia="黑体" w:cs="Arial"/>
          <w:color w:val="auto"/>
          <w:sz w:val="28"/>
          <w:szCs w:val="28"/>
          <w:highlight w:val="none"/>
        </w:rPr>
        <w:t xml:space="preserve">9、投标文件的语言及度量衡单位</w:t>
      </w:r>
      <w:bookmarkEnd w:id="84"/>
      <w:r/>
      <w:bookmarkEnd w:id="85"/>
      <w:r/>
      <w:bookmarkEnd w:id="86"/>
      <w:r/>
      <w:bookmarkEnd w:id="87"/>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 投标人提交的投标文件以及投标人与采购代理机构就有关投标的所有来往通知、函件和文件均应使用</w:t>
      </w:r>
      <w:r>
        <w:rPr>
          <w:rFonts w:hint="eastAsia" w:ascii="宋体" w:hAnsi="宋体"/>
          <w:b/>
          <w:bCs/>
          <w:color w:val="auto"/>
          <w:sz w:val="24"/>
          <w:szCs w:val="21"/>
          <w:highlight w:val="none"/>
        </w:rPr>
        <w:t xml:space="preserve">简体中文</w:t>
      </w:r>
      <w:r>
        <w:rPr>
          <w:rFonts w:hint="eastAsia" w:ascii="宋体" w:hAnsi="宋体"/>
          <w:color w:val="auto"/>
          <w:sz w:val="24"/>
          <w:szCs w:val="21"/>
          <w:highlight w:val="none"/>
        </w:rPr>
        <w:t xml:space="preserve">。</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除技术性能另有规定外，投标文件所使用的度量衡单位，均须采用国家法定计量单位。</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88" w:name="_Toc16938531"/>
      <w:r/>
      <w:bookmarkStart w:id="89" w:name="_Toc462564074"/>
      <w:r/>
      <w:bookmarkStart w:id="90" w:name="_Toc513029215"/>
      <w:r/>
      <w:bookmarkStart w:id="91" w:name="_Toc20823287"/>
      <w:r>
        <w:rPr>
          <w:rFonts w:hint="eastAsia" w:ascii="Arial" w:hAnsi="Arial" w:eastAsia="黑体" w:cs="Arial"/>
          <w:color w:val="auto"/>
          <w:sz w:val="28"/>
          <w:szCs w:val="28"/>
          <w:highlight w:val="none"/>
        </w:rPr>
        <w:t xml:space="preserve">10、投标文件构成</w:t>
      </w:r>
      <w:bookmarkEnd w:id="88"/>
      <w:r/>
      <w:bookmarkEnd w:id="89"/>
      <w:r/>
      <w:bookmarkEnd w:id="90"/>
      <w:r/>
      <w:bookmarkEnd w:id="91"/>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olor w:val="auto"/>
          <w:sz w:val="24"/>
          <w:szCs w:val="21"/>
          <w:highlight w:val="none"/>
        </w:rPr>
        <w:t xml:space="preserve"> 投标人编写的投标文件应包括资格证明文件、符合性证明文件、投标分项报价表、技术要求响应及偏离表、商务要求响应及偏离表、其他证明文件、投标响应函、开标一览表等部分。</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如标书制作工具中格式和内容与“江苏政府采购网”发布的招标文件不一致，请以“江苏政府采购网”发布的招标文件为准。</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92" w:name="_Hlt26668975"/>
      <w:r/>
      <w:bookmarkEnd w:id="92"/>
      <w:r/>
      <w:bookmarkStart w:id="93" w:name="_Hlt26670360"/>
      <w:r/>
      <w:bookmarkEnd w:id="93"/>
      <w:r/>
      <w:bookmarkStart w:id="94" w:name="_Hlt26954838"/>
      <w:r/>
      <w:bookmarkEnd w:id="94"/>
      <w:r/>
      <w:bookmarkStart w:id="95" w:name="_Toc513029219"/>
      <w:r/>
      <w:bookmarkStart w:id="96" w:name="_Toc49090509"/>
      <w:r/>
      <w:bookmarkStart w:id="97" w:name="_Toc14577357"/>
      <w:r/>
      <w:bookmarkStart w:id="98" w:name="_Toc49090507"/>
      <w:r/>
      <w:bookmarkStart w:id="99" w:name="_Toc513029216"/>
      <w:r/>
      <w:bookmarkStart w:id="100" w:name="_Toc14577354"/>
      <w:r/>
      <w:bookmarkStart w:id="101" w:name="_Toc49090508"/>
      <w:r/>
      <w:bookmarkStart w:id="102" w:name="_Toc14577355"/>
      <w:r>
        <w:rPr>
          <w:rFonts w:hint="eastAsia" w:ascii="Arial" w:hAnsi="Arial" w:eastAsia="黑体" w:cs="Arial"/>
          <w:color w:val="auto"/>
          <w:sz w:val="28"/>
          <w:szCs w:val="28"/>
          <w:highlight w:val="none"/>
        </w:rPr>
        <w:t xml:space="preserve">11、证明投标人及投标标的符合招标文件规定的文件</w:t>
      </w:r>
      <w:bookmarkEnd w:id="95"/>
      <w:r/>
      <w:bookmarkEnd w:id="96"/>
      <w:r/>
      <w:bookmarkEnd w:id="97"/>
      <w:r/>
      <w:bookmarkEnd w:id="98"/>
      <w:bookmarkEnd w:id="99"/>
      <w:bookmarkEnd w:id="100"/>
      <w:r/>
    </w:p>
    <w:p>
      <w:pPr>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11.1投标人应按照招标文件要求提交证明文件，证明其及投标标的符合招标文件规定。</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bookmarkEnd w:id="101"/>
      <w:bookmarkEnd w:id="102"/>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12、投标分项报价表</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color w:val="auto"/>
          <w:sz w:val="24"/>
          <w:szCs w:val="21"/>
          <w:highlight w:val="none"/>
        </w:rPr>
        <w:t xml:space="preserve">投标人应按照招标文件规定格式填报投标分项报价表。</w:t>
      </w:r>
      <w:r/>
    </w:p>
    <w:p>
      <w:pPr>
        <w:ind w:firstLine="480"/>
        <w:pageBreakBefore w:val="0"/>
        <w:spacing w:line="360" w:lineRule="auto"/>
        <w:widowControl w:val="off"/>
        <w:rPr>
          <w:rFonts w:ascii="宋体" w:hAnsi="宋体"/>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投标货币。投标文件中的单价和总价无特殊规定的采用人民币报价，以元为单位标注。</w:t>
      </w:r>
      <w:r>
        <w:rPr>
          <w:rFonts w:hint="eastAsia" w:ascii="宋体" w:hAnsi="宋体"/>
          <w:color w:val="auto"/>
          <w:sz w:val="24"/>
          <w:szCs w:val="21"/>
          <w:highlight w:val="none"/>
        </w:rPr>
        <w:t xml:space="preserve">招标文件中另有规定的按规定执行。</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03" w:name="_Hlt26670482"/>
      <w:r/>
      <w:bookmarkEnd w:id="103"/>
      <w:r/>
      <w:bookmarkStart w:id="104" w:name="_Hlt26670486"/>
      <w:r/>
      <w:bookmarkEnd w:id="104"/>
      <w:r/>
      <w:bookmarkStart w:id="105" w:name="_Hlt26954731"/>
      <w:r/>
      <w:bookmarkEnd w:id="105"/>
      <w:r/>
      <w:bookmarkStart w:id="106" w:name="_Hlt26954848"/>
      <w:r/>
      <w:bookmarkEnd w:id="106"/>
      <w:r/>
      <w:bookmarkStart w:id="107" w:name="_Hlt26954846"/>
      <w:r/>
      <w:bookmarkEnd w:id="107"/>
      <w:r>
        <w:rPr>
          <w:rFonts w:hint="eastAsia" w:ascii="Arial" w:hAnsi="Arial" w:eastAsia="黑体" w:cs="Arial"/>
          <w:color w:val="auto"/>
          <w:sz w:val="28"/>
          <w:szCs w:val="28"/>
          <w:highlight w:val="none"/>
        </w:rPr>
        <w:t xml:space="preserve">13、技术要求响应及偏离表、商务要求响应及偏离表</w:t>
      </w:r>
      <w:r/>
    </w:p>
    <w:p>
      <w:pPr>
        <w:ind w:firstLine="480"/>
        <w:pageBreakBefore w:val="0"/>
        <w:spacing w:line="360" w:lineRule="auto"/>
        <w:widowControl w:val="off"/>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r>
      <w:r>
        <w:rPr>
          <w:rFonts w:hint="eastAsia" w:ascii="宋体" w:hAnsi="Arial" w:cs="宋体"/>
          <w:color w:val="auto"/>
          <w:sz w:val="24"/>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13.2投标人可在投标文件中提供认为需要的其他技术文件或说明。</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14、服务承诺、培训计划、人员安排及其他</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14.2投标人需根据招标文件要求提供培训计划。</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14.3投标人需根据招标文件要求提供</w:t>
      </w:r>
      <w:r>
        <w:rPr>
          <w:rFonts w:hint="eastAsia" w:ascii="宋体" w:hAnsi="Arial" w:cs="宋体"/>
          <w:color w:val="auto"/>
          <w:sz w:val="24"/>
          <w:szCs w:val="21"/>
          <w:highlight w:val="none"/>
          <w:lang w:val="zh-CN"/>
        </w:rPr>
        <w:t xml:space="preserve">所投标的的主要组成部分、功能设计、实现思路及关键技术等。</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08" w:name="_Toc14577359"/>
      <w:r/>
      <w:bookmarkStart w:id="109" w:name="_Toc49090510"/>
      <w:r>
        <w:rPr>
          <w:rFonts w:hint="eastAsia" w:ascii="Arial" w:hAnsi="Arial" w:eastAsia="黑体" w:cs="Arial"/>
          <w:color w:val="auto"/>
          <w:sz w:val="28"/>
          <w:szCs w:val="28"/>
          <w:highlight w:val="none"/>
        </w:rPr>
        <w:t xml:space="preserve">15、投标响应函和开标一览表</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投标人应按照招标文件中提供的格式完整、正确填写投标响应函、开标一览表。</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15.2对于采用货币报价的项目，开标一览表中的投标总报价应与投标分项报价表中的投标总报价一致，如不一致，不作为无效投标处理，但评标时按开标一览表中价格为准。</w:t>
      </w:r>
      <w:bookmarkEnd w:id="108"/>
      <w:bookmarkEnd w:id="109"/>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10" w:name="_Toc14577360"/>
      <w:r/>
      <w:bookmarkStart w:id="111" w:name="_Toc49090511"/>
      <w:r>
        <w:rPr>
          <w:rFonts w:hint="eastAsia" w:ascii="Arial" w:hAnsi="Arial" w:eastAsia="黑体" w:cs="Arial"/>
          <w:color w:val="auto"/>
          <w:sz w:val="28"/>
          <w:szCs w:val="28"/>
          <w:highlight w:val="none"/>
        </w:rPr>
        <w:t xml:space="preserve">16、投标有效期</w:t>
      </w:r>
      <w:bookmarkEnd w:id="110"/>
      <w:r/>
      <w:bookmarkEnd w:id="111"/>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16.1投标有效期为</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规定的开标之日后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。投标有效期比规定短的将被视为未实质性响应招标文件而予以拒绝。</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、投标有效期的延长</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于原投标有效期满之前，可向投标人提出延长投标有效期的要求。这种要求与答复均应采用书面形式。投标人可以拒绝</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的这一要求而放弃投标，同意延长投标有效期的投标人既不能要求也不允许修改其投标文件。</w:t>
      </w:r>
      <w:r>
        <w:rPr>
          <w:rFonts w:hint="eastAsia" w:ascii="宋体" w:hAnsi="宋体"/>
          <w:color w:val="auto"/>
          <w:sz w:val="24"/>
          <w:szCs w:val="24"/>
          <w:highlight w:val="none"/>
        </w:rPr>
        <w:t xml:space="preserve">受投标有效期约束的所有权利与义务均延长至新的有效期</w:t>
      </w:r>
      <w:r>
        <w:rPr>
          <w:rFonts w:hint="eastAsia" w:ascii="宋体" w:hAnsi="宋体"/>
          <w:bCs/>
          <w:color w:val="auto"/>
          <w:sz w:val="24"/>
          <w:szCs w:val="21"/>
          <w:highlight w:val="none"/>
        </w:rPr>
        <w:t xml:space="preserve">。</w:t>
      </w:r>
      <w:r/>
    </w:p>
    <w:p>
      <w:pPr>
        <w:keepLines/>
        <w:keepNext/>
        <w:pageBreakBefore w:val="0"/>
        <w:spacing w:before="145" w:after="145" w:line="360" w:lineRule="auto"/>
        <w:widowControl w:val="off"/>
        <w:rPr>
          <w:rFonts w:hint="eastAsia"/>
          <w:b/>
          <w:bCs/>
          <w:color w:val="auto"/>
          <w:sz w:val="32"/>
          <w:szCs w:val="32"/>
          <w:highlight w:val="none"/>
        </w:rPr>
        <w:outlineLvl w:val="2"/>
      </w:pPr>
      <w:r/>
      <w:bookmarkStart w:id="112" w:name="_Hlt26954739"/>
      <w:r/>
      <w:bookmarkEnd w:id="112"/>
      <w:r/>
      <w:bookmarkStart w:id="113" w:name="_Hlt26954852"/>
      <w:r/>
      <w:bookmarkEnd w:id="113"/>
      <w:r/>
      <w:bookmarkStart w:id="114" w:name="_Toc16938540"/>
      <w:r/>
      <w:bookmarkStart w:id="115" w:name="_Toc120614217"/>
      <w:r/>
      <w:bookmarkStart w:id="116" w:name="_Toc20823296"/>
      <w:r/>
      <w:bookmarkStart w:id="117" w:name="_Toc513029224"/>
      <w:r>
        <w:rPr>
          <w:rFonts w:hint="eastAsia"/>
          <w:b/>
          <w:bCs/>
          <w:color w:val="auto"/>
          <w:sz w:val="32"/>
          <w:szCs w:val="32"/>
          <w:highlight w:val="none"/>
        </w:rPr>
        <w:t xml:space="preserve">四、投标文件的递交</w:t>
      </w:r>
      <w:bookmarkEnd w:id="114"/>
      <w:r/>
      <w:bookmarkEnd w:id="115"/>
      <w:r/>
      <w:bookmarkEnd w:id="116"/>
      <w:r/>
      <w:bookmarkEnd w:id="117"/>
      <w:r/>
      <w:r/>
    </w:p>
    <w:p>
      <w:pPr>
        <w:ind w:firstLine="420"/>
        <w:keepLines/>
        <w:keepNext/>
        <w:pageBreakBefore w:val="0"/>
        <w:spacing w:line="360" w:lineRule="auto"/>
        <w:widowControl w:val="off"/>
        <w:rPr>
          <w:rFonts w:hint="eastAsia" w:ascii="黑体" w:hAnsi="Arial" w:eastAsia="黑体" w:cs="Arial"/>
          <w:color w:val="auto"/>
          <w:sz w:val="28"/>
          <w:szCs w:val="28"/>
          <w:highlight w:val="none"/>
        </w:rPr>
        <w:outlineLvl w:val="3"/>
      </w:pPr>
      <w:r/>
      <w:bookmarkStart w:id="118" w:name="_Toc16938541"/>
      <w:r/>
      <w:bookmarkStart w:id="119" w:name="_Toc20823297"/>
      <w:r/>
      <w:bookmarkStart w:id="120" w:name="_Toc462564084"/>
      <w:r/>
      <w:bookmarkStart w:id="121" w:name="_Toc513029225"/>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、电子</w:t>
      </w:r>
      <w:r>
        <w:rPr>
          <w:rFonts w:hint="eastAsia" w:ascii="黑体" w:hAnsi="Arial" w:eastAsia="黑体" w:cs="Arial"/>
          <w:color w:val="auto"/>
          <w:sz w:val="28"/>
          <w:szCs w:val="28"/>
          <w:highlight w:val="none"/>
        </w:rPr>
        <w:t xml:space="preserve">投标文件</w:t>
      </w:r>
      <w:bookmarkEnd w:id="118"/>
      <w:r/>
      <w:bookmarkEnd w:id="119"/>
      <w:r/>
      <w:bookmarkEnd w:id="120"/>
      <w:r/>
      <w:bookmarkEnd w:id="121"/>
      <w:r>
        <w:rPr>
          <w:rFonts w:hint="eastAsia" w:ascii="黑体" w:hAnsi="Arial" w:eastAsia="黑体" w:cs="Arial"/>
          <w:color w:val="auto"/>
          <w:sz w:val="28"/>
          <w:szCs w:val="28"/>
          <w:highlight w:val="none"/>
        </w:rPr>
        <w:t xml:space="preserve">的递交</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18.1投标人应当按照《操作手册》规定，在投标截止时间前制作并上传电子投标文件。</w:t>
      </w:r>
      <w:bookmarkStart w:id="122" w:name="_Toc16938542"/>
      <w:r/>
      <w:bookmarkStart w:id="123" w:name="_Toc20823298"/>
      <w:r/>
      <w:bookmarkStart w:id="124" w:name="_Toc513029226"/>
      <w:r/>
      <w:r/>
    </w:p>
    <w:p>
      <w:pPr>
        <w:ind w:firstLine="482"/>
        <w:pageBreakBefore w:val="0"/>
        <w:spacing w:line="360" w:lineRule="auto"/>
        <w:widowControl w:val="off"/>
        <w:rPr>
          <w:rFonts w:hint="eastAsia" w:ascii="宋体" w:hAnsi="宋体"/>
          <w:b/>
          <w:color w:val="auto"/>
          <w:sz w:val="24"/>
          <w:szCs w:val="21"/>
          <w:highlight w:val="none"/>
        </w:rPr>
      </w:pPr>
      <w:r>
        <w:rPr>
          <w:rFonts w:ascii="宋体" w:hAnsi="宋体"/>
          <w:b/>
          <w:color w:val="auto"/>
          <w:sz w:val="24"/>
          <w:szCs w:val="21"/>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19、投标截止日期</w:t>
      </w:r>
      <w:bookmarkEnd w:id="122"/>
      <w:r/>
      <w:bookmarkEnd w:id="123"/>
      <w:r/>
      <w:bookmarkEnd w:id="124"/>
      <w:r/>
      <w:r/>
    </w:p>
    <w:p>
      <w:pPr>
        <w:ind w:firstLine="480"/>
        <w:pageBreakBefore w:val="0"/>
        <w:spacing w:line="360" w:lineRule="auto"/>
        <w:widowControl w:val="off"/>
        <w:rPr>
          <w:rFonts w:hint="eastAsia" w:ascii="宋体" w:hAnsi="宋体"/>
          <w:bCs/>
          <w:i/>
          <w:iCs w:val="0"/>
          <w:color w:val="auto"/>
          <w:sz w:val="24"/>
          <w:szCs w:val="21"/>
          <w:highlight w:val="none"/>
          <w:u w:val="single"/>
        </w:rPr>
      </w:pPr>
      <w:r>
        <w:rPr>
          <w:rFonts w:ascii="宋体" w:hAnsi="宋体"/>
          <w:i/>
          <w:iCs w:val="0"/>
          <w:color w:val="auto"/>
          <w:sz w:val="24"/>
          <w:szCs w:val="21"/>
          <w:highlight w:val="none"/>
          <w:u w:val="single"/>
        </w:rPr>
        <w:t xml:space="preserve">19</w:t>
      </w:r>
      <w:r>
        <w:rPr>
          <w:rFonts w:hint="eastAsia" w:ascii="宋体" w:hAnsi="宋体"/>
          <w:i/>
          <w:iCs w:val="0"/>
          <w:color w:val="auto"/>
          <w:sz w:val="24"/>
          <w:szCs w:val="21"/>
          <w:highlight w:val="none"/>
          <w:u w:val="single"/>
        </w:rPr>
        <w:t xml:space="preserve">.1</w:t>
      </w:r>
      <w:r>
        <w:rPr>
          <w:rFonts w:hint="eastAsia" w:ascii="宋体" w:hAnsi="宋体"/>
          <w:bCs/>
          <w:i/>
          <w:iCs w:val="0"/>
          <w:color w:val="auto"/>
          <w:sz w:val="24"/>
          <w:szCs w:val="21"/>
          <w:highlight w:val="none"/>
          <w:u w:val="single"/>
        </w:rPr>
        <w:t xml:space="preserve">投标人上传电子投标文件的时间不得迟于招标公告中规定的投标截止时间。</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pageBreakBefore w:val="0"/>
        <w:spacing w:line="360" w:lineRule="auto"/>
        <w:widowControl w:val="off"/>
        <w:rPr>
          <w:rFonts w:hint="eastAsia" w:ascii="宋体" w:hAnsi="宋体"/>
          <w:bCs/>
          <w:color w:val="auto"/>
          <w:sz w:val="24"/>
          <w:szCs w:val="21"/>
          <w:highlight w:val="none"/>
        </w:rPr>
      </w:pPr>
      <w:r>
        <w:rPr>
          <w:rFonts w:ascii="宋体" w:hAnsi="宋体"/>
          <w:color w:val="auto"/>
          <w:sz w:val="24"/>
          <w:szCs w:val="21"/>
          <w:highlight w:val="none"/>
        </w:rPr>
        <w:t xml:space="preserve">19</w:t>
      </w:r>
      <w:r>
        <w:rPr>
          <w:rFonts w:hint="eastAsia" w:ascii="宋体" w:hAnsi="宋体"/>
          <w:color w:val="auto"/>
          <w:sz w:val="24"/>
          <w:szCs w:val="21"/>
          <w:highlight w:val="none"/>
        </w:rPr>
        <w:t xml:space="preserve">.2</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25" w:name="_Toc20823299"/>
      <w:r/>
      <w:bookmarkStart w:id="126" w:name="_Toc16938543"/>
      <w:r/>
      <w:bookmarkStart w:id="127"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、投标文件</w:t>
      </w:r>
      <w:bookmarkEnd w:id="125"/>
      <w:r/>
      <w:bookmarkEnd w:id="126"/>
      <w:r/>
      <w:bookmarkEnd w:id="127"/>
      <w:r>
        <w:rPr>
          <w:rFonts w:hint="eastAsia" w:ascii="Arial" w:hAnsi="Arial" w:eastAsia="黑体" w:cs="Arial"/>
          <w:color w:val="auto"/>
          <w:sz w:val="28"/>
          <w:szCs w:val="28"/>
          <w:highlight w:val="none"/>
        </w:rPr>
        <w:t xml:space="preserve">的拒收</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20.1 </w:t>
      </w:r>
      <w:r>
        <w:rPr>
          <w:rFonts w:hint="eastAsia" w:ascii="宋体" w:hAnsi="宋体"/>
          <w:color w:val="auto"/>
          <w:sz w:val="24"/>
          <w:szCs w:val="21"/>
          <w:highlight w:val="none"/>
        </w:rPr>
        <w:t xml:space="preserve">采购代理机构</w:t>
      </w:r>
      <w:r>
        <w:rPr>
          <w:rFonts w:hint="eastAsia" w:ascii="宋体" w:hAnsi="宋体"/>
          <w:bCs/>
          <w:color w:val="auto"/>
          <w:sz w:val="24"/>
          <w:szCs w:val="21"/>
          <w:highlight w:val="none"/>
        </w:rPr>
        <w:t xml:space="preserve">拒绝接收在其规定的投标截止时间后上传的任何投标文件。</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28" w:name="_Toc16938544"/>
      <w:r/>
      <w:bookmarkStart w:id="129" w:name="_Toc513029228"/>
      <w:r/>
      <w:bookmarkStart w:id="130" w:name="_Toc2082330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、投标文件的撤回和修改</w:t>
      </w:r>
      <w:bookmarkEnd w:id="128"/>
      <w:r/>
      <w:bookmarkEnd w:id="129"/>
      <w:r/>
      <w:bookmarkEnd w:id="130"/>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 投标文件的撤回</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电子投标文件的撤回</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投标人可在投标截止时间前，撤回其电子投标文件，具体操作方法见《操作手册》。</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投标文件的修改</w:t>
      </w:r>
      <w:r/>
    </w:p>
    <w:p>
      <w:pPr>
        <w:ind w:firstLine="48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21.2.1投标人可在投标截止时间前，对其电子投标文件进行修改，具体操作方法见《操作手册》。</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w:t>
      </w:r>
      <w:r>
        <w:rPr>
          <w:rFonts w:ascii="宋体" w:hAnsi="宋体"/>
          <w:color w:val="auto"/>
          <w:sz w:val="24"/>
          <w:szCs w:val="21"/>
          <w:highlight w:val="none"/>
        </w:rPr>
        <w:t xml:space="preserve">2.2</w:t>
      </w:r>
      <w:r>
        <w:rPr>
          <w:rFonts w:hint="eastAsia" w:ascii="宋体" w:hAnsi="宋体"/>
          <w:bCs/>
          <w:color w:val="auto"/>
          <w:sz w:val="24"/>
          <w:szCs w:val="21"/>
          <w:highlight w:val="none"/>
        </w:rPr>
        <w:t xml:space="preserve"> 在投标截止时间之后，投标人不得对其电子投标文件作任何修改。</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在投标截止时间至招标文件中规定的投标有效期满之间的这段时间内，投标人不得撤回其投标。</w:t>
      </w:r>
      <w:r/>
    </w:p>
    <w:p>
      <w:pPr>
        <w:ind w:firstLine="482"/>
        <w:keepLines/>
        <w:keepNext/>
        <w:pageBreakBefore w:val="0"/>
        <w:spacing w:before="145" w:after="145" w:line="360" w:lineRule="auto"/>
        <w:widowControl w:val="off"/>
        <w:rPr>
          <w:rFonts w:hint="eastAsia"/>
          <w:b/>
          <w:bCs/>
          <w:color w:val="auto"/>
          <w:sz w:val="32"/>
          <w:szCs w:val="32"/>
          <w:highlight w:val="none"/>
        </w:rPr>
        <w:outlineLvl w:val="2"/>
      </w:pPr>
      <w:r/>
      <w:bookmarkStart w:id="131" w:name="_Toc20823301"/>
      <w:r/>
      <w:bookmarkStart w:id="132" w:name="_Toc16938545"/>
      <w:r/>
      <w:bookmarkStart w:id="133" w:name="_Toc513029229"/>
      <w:r/>
      <w:bookmarkStart w:id="134" w:name="_Toc120614218"/>
      <w:r>
        <w:rPr>
          <w:rFonts w:hint="eastAsia"/>
          <w:b/>
          <w:bCs/>
          <w:color w:val="auto"/>
          <w:sz w:val="32"/>
          <w:szCs w:val="32"/>
          <w:highlight w:val="none"/>
        </w:rPr>
        <w:t xml:space="preserve">五、开标与评标</w:t>
      </w:r>
      <w:bookmarkEnd w:id="131"/>
      <w:r/>
      <w:bookmarkEnd w:id="132"/>
      <w:r/>
      <w:bookmarkEnd w:id="133"/>
      <w:r/>
      <w:bookmarkEnd w:id="134"/>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35" w:name="_Toc20823302"/>
      <w:r/>
      <w:bookmarkStart w:id="136" w:name="_Toc513029230"/>
      <w:r/>
      <w:bookmarkStart w:id="137" w:name="_Toc16938546"/>
      <w:r>
        <w:rPr>
          <w:rFonts w:hint="eastAsia" w:ascii="Arial" w:hAnsi="Arial" w:eastAsia="黑体" w:cs="Arial"/>
          <w:color w:val="auto"/>
          <w:sz w:val="28"/>
          <w:szCs w:val="28"/>
          <w:highlight w:val="none"/>
        </w:rPr>
        <w:t xml:space="preserve">22、开标</w:t>
      </w:r>
      <w:bookmarkEnd w:id="135"/>
      <w:r/>
      <w:bookmarkEnd w:id="136"/>
      <w:r/>
      <w:bookmarkEnd w:id="137"/>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.1 采购代理机构将在招标公告中规定的时间和地点组织公开开标。投标人应当按照《操作手册》规定，</w:t>
      </w:r>
      <w:r>
        <w:rPr>
          <w:rFonts w:ascii="宋体" w:hAnsi="宋体"/>
          <w:bCs/>
          <w:color w:val="auto"/>
          <w:sz w:val="24"/>
          <w:szCs w:val="21"/>
          <w:highlight w:val="none"/>
        </w:rPr>
        <w:t xml:space="preserve">参加开标活动</w:t>
      </w:r>
      <w:r>
        <w:rPr>
          <w:rFonts w:hint="eastAsia" w:ascii="宋体" w:hAnsi="宋体"/>
          <w:bCs/>
          <w:color w:val="auto"/>
          <w:sz w:val="24"/>
          <w:szCs w:val="21"/>
          <w:highlight w:val="none"/>
        </w:rPr>
        <w:t xml:space="preserve">和在苏采云系统规定的时间内对投标文件进行解密。</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.2开标仪式由采购代理机构组织。苏采云系统将自动对</w:t>
      </w:r>
      <w:r>
        <w:rPr>
          <w:rFonts w:ascii="宋体" w:hAnsi="宋体"/>
          <w:bCs/>
          <w:color w:val="auto"/>
          <w:sz w:val="24"/>
          <w:szCs w:val="21"/>
          <w:highlight w:val="none"/>
        </w:rPr>
        <w:t xml:space="preserve">项目进行开标，</w:t>
      </w:r>
      <w:r>
        <w:rPr>
          <w:rFonts w:hint="eastAsia" w:ascii="宋体" w:hAnsi="宋体"/>
          <w:bCs/>
          <w:color w:val="auto"/>
          <w:sz w:val="24"/>
          <w:szCs w:val="21"/>
          <w:highlight w:val="none"/>
        </w:rPr>
        <w:t xml:space="preserve">并宣布各投标人名称和投标价格。</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.3投标人在开标过程中涉及到的投标文件解密、开标结果确认等工作，应按照《操作手册》规定执行。</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38" w:name="_Toc20823303"/>
      <w:r/>
      <w:bookmarkStart w:id="139" w:name="_Toc16938547"/>
      <w:r/>
      <w:bookmarkStart w:id="140" w:name="_Toc513029231"/>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、评标委员会</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.1开标后，采购人将立即组织评标委员会（以下简称评委会）进行评标。</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.2评委会由采购人代表和有关技术、经济等方面的专家组成，且人员构成符合政府采购有关规定。</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.3评委会独立工作，负责评审所有投标文件并确定中标候选人。</w:t>
      </w:r>
      <w:r/>
    </w:p>
    <w:p>
      <w:pPr>
        <w:ind w:firstLine="420"/>
        <w:keepLines/>
        <w:keepNext/>
        <w:pageBreakBefore w:val="0"/>
        <w:spacing w:line="360" w:lineRule="auto"/>
        <w:widowControl w:val="off"/>
        <w:rPr>
          <w:rFonts w:hint="eastAsia" w:ascii="黑体" w:hAnsi="Arial" w:eastAsia="黑体" w:cs="Arial"/>
          <w:color w:val="auto"/>
          <w:sz w:val="28"/>
          <w:szCs w:val="28"/>
          <w:highlight w:val="none"/>
        </w:rPr>
        <w:outlineLvl w:val="3"/>
      </w:pPr>
      <w:r>
        <w:rPr>
          <w:rFonts w:hint="eastAsia" w:ascii="黑体" w:hAnsi="Arial" w:eastAsia="黑体" w:cs="Arial"/>
          <w:color w:val="auto"/>
          <w:sz w:val="28"/>
          <w:szCs w:val="28"/>
          <w:highlight w:val="none"/>
        </w:rPr>
        <w:t xml:space="preserve">2</w:t>
      </w:r>
      <w:r>
        <w:rPr>
          <w:rFonts w:ascii="黑体" w:hAnsi="Arial" w:eastAsia="黑体" w:cs="Arial"/>
          <w:color w:val="auto"/>
          <w:sz w:val="28"/>
          <w:szCs w:val="28"/>
          <w:highlight w:val="none"/>
        </w:rPr>
        <w:t xml:space="preserve">4</w:t>
      </w:r>
      <w:r>
        <w:rPr>
          <w:rFonts w:hint="eastAsia" w:ascii="黑体" w:hAnsi="Arial" w:eastAsia="黑体" w:cs="Arial"/>
          <w:color w:val="auto"/>
          <w:sz w:val="28"/>
          <w:szCs w:val="28"/>
          <w:highlight w:val="none"/>
        </w:rPr>
        <w:t xml:space="preserve">、评标过程的保密与公正</w:t>
      </w:r>
      <w:bookmarkEnd w:id="138"/>
      <w:bookmarkEnd w:id="139"/>
      <w:bookmarkEnd w:id="140"/>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和评标委员会不向未中标的投标人解释未中标原因，也不公布评标过程中的相关细节。</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4</w:t>
      </w: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bookmarkStart w:id="141" w:name="_Toc513029232"/>
      <w:r/>
      <w:bookmarkStart w:id="142" w:name="_Toc16938548"/>
      <w:r/>
      <w:bookmarkStart w:id="143" w:name="_Toc20823304"/>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、投标文件的澄清</w:t>
      </w:r>
      <w:bookmarkEnd w:id="141"/>
      <w:r/>
      <w:bookmarkEnd w:id="142"/>
      <w:r/>
      <w:bookmarkEnd w:id="143"/>
      <w:r/>
      <w:r/>
    </w:p>
    <w:p>
      <w:pPr>
        <w:ind w:firstLine="480"/>
        <w:pageBreakBefore w:val="0"/>
        <w:spacing w:line="360" w:lineRule="auto"/>
        <w:widowControl w:val="off"/>
        <w:rPr>
          <w:rFonts w:ascii="宋体" w:hAnsi="宋体"/>
          <w:color w:val="auto"/>
          <w:sz w:val="24"/>
          <w:szCs w:val="24"/>
          <w:highlight w:val="none"/>
        </w:rPr>
      </w:pPr>
      <w:r/>
      <w:bookmarkStart w:id="144" w:name="_Toc16938549"/>
      <w:r/>
      <w:bookmarkStart w:id="145" w:name="_Toc20823305"/>
      <w:r/>
      <w:bookmarkStart w:id="146" w:name="_Toc513029233"/>
      <w:r>
        <w:rPr>
          <w:rFonts w:ascii="宋体" w:hAnsi="宋体"/>
          <w:color w:val="auto"/>
          <w:sz w:val="24"/>
          <w:szCs w:val="24"/>
          <w:highlight w:val="none"/>
        </w:rPr>
        <w:t xml:space="preserve">25</w:t>
      </w: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接到评委会澄清、说明和补正要求的投标人如未按规定做出澄清、说明和补正，其风险由投标人自行承担。</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、对投标文件的初审</w:t>
      </w:r>
      <w:bookmarkEnd w:id="144"/>
      <w:r/>
      <w:bookmarkEnd w:id="145"/>
      <w:r/>
      <w:bookmarkEnd w:id="146"/>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投标文件初审分为资格审查和符合性审查。</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未通过资格审查或符合性审查的投标人，采购代理机构将在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中告知未通过资格审查或符合性审查的原因，评审结束后，采购代理机构将不再告知未通过资格审查或符合性审查的原因。</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4"/>
          <w:szCs w:val="21"/>
          <w:highlight w:val="none"/>
        </w:rPr>
        <w:t xml:space="preserve">评委决定投标文件的响应性只根据投标文件本身的内容，而不寻求外部的证据。</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评委会将对确定为实质性响应的投标进行进一步审核，看其是否有计算上或累加上的算术错误，修正错误的原则如下：</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（1）投标文件中开标一览表内容与投标文件中相应内容不一致的，以开标一览表为准。</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（2）大写金额和小写金额不一致的，以大写金额为准。</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bCs/>
          <w:color w:val="auto"/>
          <w:sz w:val="24"/>
          <w:szCs w:val="21"/>
          <w:highlight w:val="none"/>
        </w:rPr>
        <w:t xml:space="preserve">（3）单价金额小数点或者百分比有明显错位的，以开标一览表的总价为准，并修改单价。</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（4）总价金额与按单价汇总金额不一致的，以单价金额计算结果为准。</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同时出现两种以上错误的，按照前款规定的顺序修正。</w:t>
      </w:r>
      <w:r/>
    </w:p>
    <w:p>
      <w:pPr>
        <w:ind w:firstLine="480"/>
        <w:pageBreakBefore w:val="0"/>
        <w:spacing w:line="360" w:lineRule="auto"/>
        <w:widowControl w:val="off"/>
        <w:rPr>
          <w:rFonts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评委会将按上述修正错误的方法调整投标文件中的投标报价，并</w:t>
      </w:r>
      <w:r>
        <w:rPr>
          <w:rFonts w:ascii="宋体" w:hAnsi="宋体"/>
          <w:bCs/>
          <w:color w:val="auto"/>
          <w:sz w:val="24"/>
          <w:szCs w:val="21"/>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告知</w:t>
      </w:r>
      <w:r>
        <w:rPr>
          <w:rFonts w:ascii="宋体" w:hAnsi="宋体"/>
          <w:bCs/>
          <w:color w:val="auto"/>
          <w:sz w:val="24"/>
          <w:szCs w:val="21"/>
          <w:highlight w:val="none"/>
        </w:rPr>
        <w:t xml:space="preserve">投标人，</w:t>
      </w:r>
      <w:r>
        <w:rPr>
          <w:rFonts w:hint="eastAsia" w:ascii="宋体" w:hAnsi="宋体"/>
          <w:bCs/>
          <w:color w:val="auto"/>
          <w:sz w:val="24"/>
          <w:szCs w:val="21"/>
          <w:highlight w:val="none"/>
        </w:rPr>
        <w:t xml:space="preserve">调整后的价格应对投标人具有约束力。如果投标人不接受修正后的价格，则其投标将被拒绝。</w:t>
      </w:r>
      <w:r/>
    </w:p>
    <w:p>
      <w:pPr>
        <w:ind w:firstLine="480"/>
        <w:pageBreakBefore w:val="0"/>
        <w:spacing w:line="360" w:lineRule="auto"/>
        <w:widowControl w:val="off"/>
        <w:rPr>
          <w:rFonts w:ascii="宋体" w:hAnsi="宋体"/>
          <w:color w:val="auto"/>
          <w:sz w:val="24"/>
          <w:szCs w:val="21"/>
          <w:highlight w:val="none"/>
        </w:rPr>
      </w:pPr>
      <w:r/>
      <w:bookmarkStart w:id="147" w:name="_Toc16938550"/>
      <w:r/>
      <w:bookmarkStart w:id="148" w:name="_Toc20823306"/>
      <w:r/>
      <w:bookmarkStart w:id="149" w:name="_Toc513029234"/>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w:t>
      </w:r>
      <w:bookmarkStart w:id="150" w:name="_Hlk162812278"/>
      <w:r>
        <w:rPr>
          <w:rFonts w:ascii="宋体" w:hAnsi="宋体"/>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szCs w:val="21"/>
          <w:highlight w:val="none"/>
        </w:rPr>
        <w:t xml:space="preserve">按照招标文件规定的方式（招标文件未规定的通过</w:t>
      </w:r>
      <w:r>
        <w:rPr>
          <w:rFonts w:ascii="宋体" w:hAnsi="宋体"/>
          <w:color w:val="auto"/>
          <w:sz w:val="24"/>
          <w:szCs w:val="21"/>
          <w:highlight w:val="none"/>
        </w:rPr>
        <w:t xml:space="preserve">随机抽取</w:t>
      </w:r>
      <w:r>
        <w:rPr>
          <w:rFonts w:hint="eastAsia" w:ascii="宋体" w:hAnsi="宋体"/>
          <w:color w:val="auto"/>
          <w:sz w:val="24"/>
          <w:szCs w:val="21"/>
          <w:highlight w:val="none"/>
        </w:rPr>
        <w:t xml:space="preserve">的</w:t>
      </w:r>
      <w:r>
        <w:rPr>
          <w:rFonts w:ascii="宋体" w:hAnsi="宋体"/>
          <w:color w:val="auto"/>
          <w:sz w:val="24"/>
          <w:szCs w:val="21"/>
          <w:highlight w:val="none"/>
        </w:rPr>
        <w:t xml:space="preserve">方式</w:t>
      </w:r>
      <w:r>
        <w:rPr>
          <w:rFonts w:hint="eastAsia" w:ascii="宋体" w:hAnsi="宋体"/>
          <w:color w:val="auto"/>
          <w:sz w:val="24"/>
          <w:szCs w:val="21"/>
          <w:highlight w:val="none"/>
        </w:rPr>
        <w:t xml:space="preserve">）</w:t>
      </w:r>
      <w:r>
        <w:rPr>
          <w:rFonts w:ascii="宋体" w:hAnsi="宋体"/>
          <w:color w:val="auto"/>
          <w:sz w:val="24"/>
          <w:szCs w:val="21"/>
          <w:highlight w:val="none"/>
        </w:rPr>
        <w:t xml:space="preserve">确定一个参加评标的投标人，其他投标无效。</w:t>
      </w:r>
      <w:r/>
    </w:p>
    <w:p>
      <w:pPr>
        <w:ind w:firstLine="480"/>
        <w:pageBreakBefore w:val="0"/>
        <w:spacing w:line="360" w:lineRule="auto"/>
        <w:widowControl w:val="off"/>
        <w:rPr>
          <w:rFonts w:ascii="宋体" w:hAnsi="宋体"/>
          <w:color w:val="auto"/>
          <w:sz w:val="24"/>
          <w:szCs w:val="21"/>
          <w:highlight w:val="none"/>
        </w:rPr>
      </w:pPr>
      <w:r>
        <w:rPr>
          <w:rFonts w:ascii="宋体" w:hAnsi="宋体"/>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szCs w:val="21"/>
          <w:highlight w:val="none"/>
        </w:rPr>
        <w:t xml:space="preserve">根据招标文件规定的方式（招标文件未规定的采取随机抽取的方式）</w:t>
      </w:r>
      <w:r>
        <w:rPr>
          <w:rFonts w:ascii="宋体" w:hAnsi="宋体"/>
          <w:color w:val="auto"/>
          <w:sz w:val="24"/>
          <w:szCs w:val="21"/>
          <w:highlight w:val="none"/>
        </w:rPr>
        <w:t xml:space="preserve">确定</w:t>
      </w:r>
      <w:r>
        <w:rPr>
          <w:rFonts w:hint="eastAsia" w:ascii="宋体" w:hAnsi="宋体"/>
          <w:color w:val="auto"/>
          <w:sz w:val="24"/>
          <w:szCs w:val="21"/>
          <w:highlight w:val="none"/>
        </w:rPr>
        <w:t xml:space="preserve">一个中标候选人</w:t>
      </w:r>
      <w:r>
        <w:rPr>
          <w:rFonts w:ascii="宋体" w:hAnsi="宋体"/>
          <w:color w:val="auto"/>
          <w:sz w:val="24"/>
          <w:szCs w:val="21"/>
          <w:highlight w:val="none"/>
        </w:rPr>
        <w:t xml:space="preserve">，其他同品牌投标人不作为中标候选人。</w:t>
      </w:r>
      <w:bookmarkEnd w:id="150"/>
      <w:r/>
    </w:p>
    <w:p>
      <w:pPr>
        <w:ind w:firstLine="420"/>
        <w:pageBreakBefore w:val="0"/>
        <w:spacing w:line="360" w:lineRule="auto"/>
        <w:widowControl w:val="off"/>
        <w:rPr>
          <w:rFonts w:hint="eastAsia" w:ascii="宋体" w:hAnsi="宋体"/>
          <w:color w:val="auto"/>
          <w:sz w:val="24"/>
          <w:szCs w:val="21"/>
          <w:highlight w:val="none"/>
        </w:rPr>
      </w:pPr>
      <w:r>
        <w:rPr>
          <w:rFonts w:ascii="宋体" w:hAnsi="宋体"/>
          <w:color w:val="auto"/>
          <w:sz w:val="24"/>
          <w:szCs w:val="21"/>
          <w:highlight w:val="none"/>
        </w:rPr>
        <w:t xml:space="preserve">非单一产品采购项目，招标文件中</w:t>
      </w:r>
      <w:r>
        <w:rPr>
          <w:rFonts w:hint="eastAsia" w:ascii="宋体" w:hAnsi="宋体"/>
          <w:color w:val="auto"/>
          <w:sz w:val="24"/>
          <w:szCs w:val="21"/>
          <w:highlight w:val="none"/>
        </w:rPr>
        <w:t xml:space="preserve">将载明其中的核心产品</w:t>
      </w:r>
      <w:r>
        <w:rPr>
          <w:rFonts w:ascii="宋体" w:hAnsi="宋体"/>
          <w:color w:val="auto"/>
          <w:sz w:val="24"/>
          <w:szCs w:val="21"/>
          <w:highlight w:val="none"/>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.7投标人在开、评标全过程中应保持通讯畅通，及时登录</w:t>
      </w:r>
      <w:r>
        <w:rPr>
          <w:rFonts w:hint="eastAsia" w:ascii="宋体" w:hAnsi="宋体"/>
          <w:color w:val="auto"/>
          <w:sz w:val="24"/>
          <w:szCs w:val="24"/>
          <w:highlight w:val="none"/>
        </w:rPr>
        <w:t xml:space="preserve">苏采云系统</w:t>
      </w:r>
      <w:r>
        <w:rPr>
          <w:rFonts w:hint="eastAsia" w:ascii="宋体" w:hAnsi="宋体"/>
          <w:color w:val="auto"/>
          <w:sz w:val="24"/>
          <w:szCs w:val="21"/>
          <w:highlight w:val="none"/>
        </w:rPr>
        <w:t xml:space="preserve">查阅</w:t>
      </w:r>
      <w:r>
        <w:rPr>
          <w:rFonts w:ascii="宋体" w:hAnsi="宋体"/>
          <w:color w:val="auto"/>
          <w:sz w:val="24"/>
          <w:szCs w:val="21"/>
          <w:highlight w:val="none"/>
        </w:rPr>
        <w:t xml:space="preserve">、答复相关</w:t>
      </w:r>
      <w:r>
        <w:rPr>
          <w:rFonts w:hint="eastAsia" w:ascii="宋体" w:hAnsi="宋体"/>
          <w:color w:val="auto"/>
          <w:sz w:val="24"/>
          <w:szCs w:val="21"/>
          <w:highlight w:val="none"/>
        </w:rPr>
        <w:t xml:space="preserve">信息</w:t>
      </w:r>
      <w:r>
        <w:rPr>
          <w:rFonts w:ascii="宋体" w:hAnsi="宋体"/>
          <w:color w:val="auto"/>
          <w:sz w:val="24"/>
          <w:szCs w:val="21"/>
          <w:highlight w:val="none"/>
        </w:rPr>
        <w:t xml:space="preserve">，</w:t>
      </w:r>
      <w:r>
        <w:rPr>
          <w:rFonts w:hint="eastAsia" w:ascii="宋体" w:hAnsi="宋体"/>
          <w:color w:val="auto"/>
          <w:sz w:val="24"/>
          <w:szCs w:val="21"/>
          <w:highlight w:val="none"/>
        </w:rPr>
        <w:t xml:space="preserve">并安排专人与</w:t>
      </w:r>
      <w:r>
        <w:rPr>
          <w:rFonts w:hint="eastAsia" w:ascii="宋体" w:hAnsi="宋体"/>
          <w:bCs/>
          <w:color w:val="auto"/>
          <w:sz w:val="24"/>
          <w:szCs w:val="21"/>
          <w:highlight w:val="none"/>
        </w:rPr>
        <w:t xml:space="preserve">采购代理机构</w:t>
      </w:r>
      <w:r>
        <w:rPr>
          <w:rFonts w:hint="eastAsia" w:ascii="宋体" w:hAnsi="宋体"/>
          <w:color w:val="auto"/>
          <w:sz w:val="24"/>
          <w:szCs w:val="21"/>
          <w:highlight w:val="none"/>
        </w:rPr>
        <w:t xml:space="preserve">及评标委员会联系。</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lang w:val="en-US" w:eastAsia="zh-CN"/>
        </w:rPr>
        <w:t xml:space="preserve">27、</w:t>
      </w:r>
      <w:r>
        <w:rPr>
          <w:rFonts w:hint="eastAsia" w:ascii="Arial" w:hAnsi="Arial" w:eastAsia="黑体" w:cs="Arial"/>
          <w:color w:val="auto"/>
          <w:sz w:val="28"/>
          <w:szCs w:val="28"/>
          <w:highlight w:val="none"/>
          <w:lang w:eastAsia="zh-CN"/>
        </w:rPr>
        <w:t xml:space="preserve">异常低价审查</w:t>
      </w:r>
      <w:r/>
    </w:p>
    <w:p>
      <w:pPr>
        <w:ind w:firstLine="420"/>
        <w:pageBreakBefore w:val="0"/>
        <w:spacing w:line="360" w:lineRule="auto"/>
        <w:widowControl w:val="off"/>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en-US" w:eastAsia="zh-CN"/>
        </w:rPr>
        <w:t xml:space="preserve">7</w:t>
      </w:r>
      <w:r>
        <w:rPr>
          <w:rFonts w:ascii="宋体" w:hAnsi="宋体" w:eastAsia="宋体" w:cs="Times New Roman"/>
          <w:color w:val="auto"/>
          <w:sz w:val="24"/>
          <w:szCs w:val="21"/>
          <w:highlight w:val="none"/>
          <w:lang w:val="en-US" w:eastAsia="zh-CN"/>
        </w:rPr>
        <w:t xml:space="preserve">.1根据省财政厅《关于推动解决政府采购异常低价问题相关工作的通知》（苏财购〔2025〕62号）要求，评审过程中出现下列情形之一的，评审委员会应当启动异常低价投标（响应）审查程序：</w:t>
      </w:r>
      <w:r/>
    </w:p>
    <w:p>
      <w:pPr>
        <w:ind w:firstLine="420"/>
        <w:pageBreakBefore w:val="0"/>
        <w:spacing w:line="360" w:lineRule="auto"/>
        <w:widowControl w:val="off"/>
        <w:rPr>
          <w:rFonts w:ascii="宋体" w:hAnsi="宋体" w:eastAsia="宋体" w:cs="Times New Roman"/>
          <w:color w:val="auto"/>
          <w:sz w:val="24"/>
          <w:szCs w:val="21"/>
          <w:highlight w:val="none"/>
          <w:lang w:val="en-US" w:eastAsia="zh-CN"/>
        </w:rPr>
      </w:pPr>
      <w:r>
        <w:rPr>
          <w:rFonts w:ascii="宋体" w:hAnsi="宋体" w:eastAsia="宋体" w:cs="Times New Roman"/>
          <w:color w:val="auto"/>
          <w:sz w:val="24"/>
          <w:szCs w:val="21"/>
          <w:highlight w:val="none"/>
        </w:rPr>
        <w:t xml:space="preserve">（1）</w:t>
      </w:r>
      <w:r>
        <w:rPr>
          <w:rFonts w:ascii="宋体" w:hAnsi="宋体" w:eastAsia="宋体" w:cs="Times New Roman"/>
          <w:color w:val="auto"/>
          <w:sz w:val="24"/>
          <w:szCs w:val="21"/>
          <w:highlight w:val="none"/>
          <w:lang w:val="en-US" w:eastAsia="zh-CN"/>
        </w:rPr>
        <w:t xml:space="preserve">投标(响应)报价低于采购项目预算50%的，即投标(响应)报价&lt;采购项目预算×50%;</w:t>
      </w:r>
      <w:r/>
    </w:p>
    <w:p>
      <w:pPr>
        <w:ind w:firstLine="420"/>
        <w:pageBreakBefore w:val="0"/>
        <w:spacing w:line="360" w:lineRule="auto"/>
        <w:widowControl w:val="off"/>
        <w:rPr>
          <w:rFonts w:ascii="宋体" w:hAnsi="宋体" w:eastAsia="宋体" w:cs="Times New Roman"/>
          <w:color w:val="auto"/>
          <w:sz w:val="24"/>
          <w:szCs w:val="21"/>
          <w:highlight w:val="none"/>
          <w:lang w:val="en-US" w:eastAsia="zh-CN"/>
        </w:rPr>
      </w:pPr>
      <w:r>
        <w:rPr>
          <w:rFonts w:ascii="宋体" w:hAnsi="宋体" w:eastAsia="宋体" w:cs="Times New Roman"/>
          <w:color w:val="auto"/>
          <w:sz w:val="24"/>
          <w:szCs w:val="21"/>
          <w:highlight w:val="none"/>
        </w:rPr>
        <w:t xml:space="preserve">（2）</w:t>
      </w:r>
      <w:r>
        <w:rPr>
          <w:rFonts w:ascii="宋体" w:hAnsi="宋体" w:eastAsia="宋体" w:cs="Times New Roman"/>
          <w:color w:val="auto"/>
          <w:sz w:val="24"/>
          <w:szCs w:val="21"/>
          <w:highlight w:val="none"/>
          <w:lang w:val="en-US" w:eastAsia="zh-CN"/>
        </w:rPr>
        <w:t xml:space="preserve">投标(响应)报价低于采购项目最高限价45%的，即投标(响应)报价&lt;采购项目最高限价×45%;</w:t>
      </w:r>
      <w:r/>
    </w:p>
    <w:p>
      <w:pPr>
        <w:ind w:firstLine="420"/>
        <w:pageBreakBefore w:val="0"/>
        <w:spacing w:line="360" w:lineRule="auto"/>
        <w:widowControl w:val="off"/>
        <w:rPr>
          <w:rFonts w:ascii="宋体" w:hAnsi="宋体" w:eastAsia="宋体" w:cs="Times New Roman"/>
          <w:color w:val="auto"/>
          <w:sz w:val="24"/>
          <w:szCs w:val="21"/>
          <w:highlight w:val="none"/>
          <w:lang w:val="en-US" w:eastAsia="zh-CN"/>
        </w:rPr>
      </w:pPr>
      <w:r>
        <w:rPr>
          <w:rFonts w:ascii="宋体" w:hAnsi="宋体" w:eastAsia="宋体" w:cs="Times New Roman"/>
          <w:color w:val="auto"/>
          <w:sz w:val="24"/>
          <w:szCs w:val="21"/>
          <w:highlight w:val="none"/>
        </w:rPr>
        <w:t xml:space="preserve">（3）</w:t>
      </w:r>
      <w:r>
        <w:rPr>
          <w:rFonts w:ascii="宋体" w:hAnsi="宋体" w:eastAsia="宋体" w:cs="Times New Roman"/>
          <w:color w:val="auto"/>
          <w:sz w:val="24"/>
          <w:szCs w:val="21"/>
          <w:highlight w:val="none"/>
          <w:lang w:val="en-US" w:eastAsia="zh-CN"/>
        </w:rPr>
        <w:t xml:space="preserve">评审委员会认定的供应商报价过低、有可能影响产品质量或者不能诚信履约的其他情形。</w:t>
      </w:r>
      <w:r/>
    </w:p>
    <w:p>
      <w:pPr>
        <w:ind w:firstLine="420"/>
        <w:pageBreakBefore w:val="0"/>
        <w:spacing w:line="360" w:lineRule="auto"/>
        <w:widowControl w:val="off"/>
        <w:rPr>
          <w:rFonts w:ascii="宋体" w:hAnsi="宋体" w:eastAsia="宋体" w:cs="Times New Roman"/>
          <w:color w:val="auto"/>
          <w:sz w:val="24"/>
          <w:szCs w:val="21"/>
          <w:highlight w:val="none"/>
          <w:lang w:val="en-US" w:eastAsia="zh-CN"/>
        </w:rPr>
      </w:pPr>
      <w:r>
        <w:rPr>
          <w:rFonts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en-US" w:eastAsia="zh-CN"/>
        </w:rPr>
        <w:t xml:space="preserve">7</w:t>
      </w:r>
      <w:r>
        <w:rPr>
          <w:rFonts w:ascii="宋体" w:hAnsi="宋体" w:eastAsia="宋体" w:cs="Times New Roman"/>
          <w:color w:val="auto"/>
          <w:sz w:val="24"/>
          <w:szCs w:val="21"/>
          <w:highlight w:val="none"/>
          <w:lang w:val="en-US" w:eastAsia="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keepNext/>
        <w:pageBreakBefore w:val="0"/>
        <w:spacing w:line="360" w:lineRule="auto"/>
        <w:widowControl w:val="off"/>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hint="eastAsia" w:ascii="Arial" w:hAnsi="Arial" w:eastAsia="黑体" w:cs="Arial"/>
          <w:color w:val="auto"/>
          <w:sz w:val="28"/>
          <w:szCs w:val="28"/>
          <w:highlight w:val="none"/>
          <w:lang w:val="en-US" w:eastAsia="zh-CN"/>
        </w:rPr>
        <w:t xml:space="preserve">8</w:t>
      </w:r>
      <w:r>
        <w:rPr>
          <w:rFonts w:hint="eastAsia" w:ascii="Arial" w:hAnsi="Arial" w:eastAsia="黑体" w:cs="Arial"/>
          <w:color w:val="auto"/>
          <w:sz w:val="28"/>
          <w:szCs w:val="28"/>
          <w:highlight w:val="none"/>
        </w:rPr>
        <w:t xml:space="preserve">、</w:t>
      </w:r>
      <w:bookmarkEnd w:id="147"/>
      <w:r/>
      <w:bookmarkEnd w:id="148"/>
      <w:r/>
      <w:bookmarkEnd w:id="149"/>
      <w:r>
        <w:rPr>
          <w:rFonts w:hint="eastAsia" w:ascii="Arial" w:hAnsi="Arial" w:eastAsia="黑体" w:cs="Arial"/>
          <w:color w:val="auto"/>
          <w:sz w:val="28"/>
          <w:szCs w:val="28"/>
          <w:highlight w:val="none"/>
        </w:rPr>
        <w:t xml:space="preserve">无效投标条款和废标条款</w:t>
      </w:r>
      <w:r/>
    </w:p>
    <w:p>
      <w:pPr>
        <w:ind w:left="479"/>
        <w:pageBreakBefore w:val="0"/>
        <w:spacing w:line="360" w:lineRule="auto"/>
        <w:widowControl w:val="off"/>
        <w:rPr>
          <w:rFonts w:hint="eastAsia" w:ascii="宋体" w:hAnsi="宋体"/>
          <w:bCs/>
          <w:color w:val="auto"/>
          <w:sz w:val="24"/>
          <w:szCs w:val="21"/>
          <w:highlight w:val="none"/>
        </w:rPr>
      </w:pPr>
      <w:r/>
      <w:bookmarkStart w:id="151" w:name="_Toc513029235"/>
      <w:r/>
      <w:bookmarkStart w:id="152" w:name="_Toc20823307"/>
      <w:r/>
      <w:bookmarkStart w:id="153" w:name="_Toc16938551"/>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.1无效投标条款</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.1.1投标人在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规定的时间内未成功解密电子投标文件的。</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投标人未按照招标文件要求上传电子投标文件的。</w:t>
      </w:r>
      <w:r/>
    </w:p>
    <w:p>
      <w:pPr>
        <w:ind w:left="479"/>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同一投标人提交两个</w:t>
      </w:r>
      <w:r>
        <w:rPr>
          <w:rFonts w:ascii="宋体" w:hAnsi="宋体"/>
          <w:bCs/>
          <w:color w:val="auto"/>
          <w:sz w:val="24"/>
          <w:szCs w:val="21"/>
          <w:highlight w:val="none"/>
        </w:rPr>
        <w:t xml:space="preserve">（</w:t>
      </w:r>
      <w:r>
        <w:rPr>
          <w:rFonts w:hint="eastAsia" w:ascii="宋体" w:hAnsi="宋体"/>
          <w:bCs/>
          <w:color w:val="auto"/>
          <w:sz w:val="24"/>
          <w:szCs w:val="21"/>
          <w:highlight w:val="none"/>
        </w:rPr>
        <w:t xml:space="preserve">含</w:t>
      </w:r>
      <w:r>
        <w:rPr>
          <w:rFonts w:ascii="宋体" w:hAnsi="宋体"/>
          <w:bCs/>
          <w:color w:val="auto"/>
          <w:sz w:val="24"/>
          <w:szCs w:val="21"/>
          <w:highlight w:val="none"/>
        </w:rPr>
        <w:t xml:space="preserve">两个）</w:t>
      </w:r>
      <w:r>
        <w:rPr>
          <w:rFonts w:hint="eastAsia" w:ascii="宋体" w:hAnsi="宋体"/>
          <w:bCs/>
          <w:color w:val="auto"/>
          <w:sz w:val="24"/>
          <w:szCs w:val="21"/>
          <w:highlight w:val="none"/>
        </w:rPr>
        <w:t xml:space="preserve">以上不同的</w:t>
      </w:r>
      <w:r>
        <w:rPr>
          <w:rFonts w:ascii="宋体" w:hAnsi="宋体"/>
          <w:bCs/>
          <w:color w:val="auto"/>
          <w:sz w:val="24"/>
          <w:szCs w:val="21"/>
          <w:highlight w:val="none"/>
        </w:rPr>
        <w:t xml:space="preserve">投标报价的。</w:t>
      </w:r>
      <w:r/>
    </w:p>
    <w:p>
      <w:pPr>
        <w:ind w:left="479"/>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4</w:t>
      </w:r>
      <w:r>
        <w:rPr>
          <w:rFonts w:hint="eastAsia" w:ascii="宋体" w:hAnsi="宋体"/>
          <w:bCs/>
          <w:color w:val="auto"/>
          <w:sz w:val="24"/>
          <w:szCs w:val="21"/>
          <w:highlight w:val="none"/>
        </w:rPr>
        <w:t xml:space="preserve">投标人不具备招标文件中规定资格要求的。</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5</w:t>
      </w:r>
      <w:r>
        <w:rPr>
          <w:rFonts w:hint="eastAsia" w:ascii="宋体" w:hAnsi="宋体"/>
          <w:bCs/>
          <w:color w:val="auto"/>
          <w:sz w:val="24"/>
          <w:szCs w:val="21"/>
          <w:highlight w:val="none"/>
        </w:rPr>
        <w:t xml:space="preserve">投标人的报价超过了采购预算或最高限价的。</w:t>
      </w:r>
      <w:r/>
    </w:p>
    <w:p>
      <w:pPr>
        <w:ind w:firstLine="480"/>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未通过符合性审查的。</w:t>
      </w:r>
      <w:r/>
    </w:p>
    <w:p>
      <w:pPr>
        <w:ind w:firstLine="360"/>
        <w:pageBreakBefore w:val="0"/>
        <w:spacing w:line="360" w:lineRule="auto"/>
        <w:widowControl w:val="off"/>
        <w:rPr>
          <w:rFonts w:hint="eastAsia" w:ascii="宋体" w:hAnsi="宋体"/>
          <w:bCs/>
          <w:i/>
          <w:color w:val="auto"/>
          <w:sz w:val="24"/>
          <w:szCs w:val="21"/>
          <w:highlight w:val="none"/>
          <w:u w:val="single"/>
        </w:rPr>
      </w:pPr>
      <w:r>
        <w:rPr>
          <w:rFonts w:hint="eastAsia" w:ascii="宋体" w:hAnsi="宋体"/>
          <w:bCs/>
          <w:color w:val="auto"/>
          <w:sz w:val="24"/>
          <w:szCs w:val="21"/>
          <w:highlight w:val="none"/>
        </w:rPr>
        <w:t xml:space="preserve"> 2</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7</w:t>
      </w:r>
      <w:r>
        <w:rPr>
          <w:rFonts w:hint="eastAsia" w:ascii="宋体" w:hAnsi="宋体"/>
          <w:bCs/>
          <w:color w:val="auto"/>
          <w:sz w:val="24"/>
          <w:szCs w:val="21"/>
          <w:highlight w:val="none"/>
        </w:rPr>
        <w:t xml:space="preserve">不符合招标文件中规定的实质性要求和条件。</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9</w:t>
      </w:r>
      <w:r>
        <w:rPr>
          <w:rFonts w:hint="eastAsia" w:ascii="宋体" w:hAnsi="宋体"/>
          <w:bCs/>
          <w:color w:val="auto"/>
          <w:sz w:val="24"/>
          <w:szCs w:val="21"/>
          <w:highlight w:val="none"/>
        </w:rPr>
        <w:t xml:space="preserve">投标文件含有采购人不能接受的附加条件的。</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w:t>
      </w:r>
      <w:r>
        <w:rPr>
          <w:rFonts w:ascii="宋体" w:hAnsi="宋体"/>
          <w:bCs/>
          <w:color w:val="auto"/>
          <w:sz w:val="24"/>
          <w:szCs w:val="21"/>
          <w:highlight w:val="none"/>
        </w:rPr>
        <w:t xml:space="preserve">10</w:t>
      </w:r>
      <w:r>
        <w:rPr>
          <w:rFonts w:hint="eastAsia" w:ascii="宋体" w:hAnsi="宋体"/>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.1.1</w:t>
      </w:r>
      <w:r>
        <w:rPr>
          <w:rFonts w:hint="eastAsia" w:ascii="宋体" w:hAnsi="宋体"/>
          <w:bCs/>
          <w:color w:val="auto"/>
          <w:sz w:val="24"/>
          <w:szCs w:val="21"/>
          <w:highlight w:val="none"/>
          <w:lang w:val="en-US" w:eastAsia="zh-CN"/>
        </w:rPr>
        <w:t xml:space="preserve">1</w:t>
      </w:r>
      <w:r>
        <w:rPr>
          <w:rFonts w:hint="eastAsia" w:ascii="宋体" w:hAnsi="宋体"/>
          <w:bCs/>
          <w:color w:val="auto"/>
          <w:sz w:val="24"/>
          <w:szCs w:val="21"/>
          <w:highlight w:val="none"/>
        </w:rPr>
        <w:t xml:space="preserve">投标文件未按照招标文件要求加盖CA电子公章的。</w:t>
      </w:r>
      <w:r/>
    </w:p>
    <w:p>
      <w:pPr>
        <w:ind w:firstLine="480"/>
        <w:spacing w:line="360" w:lineRule="auto"/>
        <w:rPr>
          <w:rFonts w:hint="eastAsia" w:ascii="宋体" w:hAnsi="宋体" w:cs="Times New Roman"/>
          <w:bCs/>
          <w:color w:val="auto"/>
          <w:sz w:val="24"/>
          <w:highlight w:val="none"/>
        </w:rPr>
      </w:pPr>
      <w:r>
        <w:rPr>
          <w:rFonts w:hint="eastAsia" w:ascii="宋体" w:hAnsi="宋体" w:cs="Times New Roman"/>
          <w:bCs/>
          <w:color w:val="auto"/>
          <w:sz w:val="24"/>
          <w:highlight w:val="none"/>
          <w:lang w:val="en-US" w:eastAsia="zh-CN"/>
        </w:rPr>
        <w:t xml:space="preserve">28</w:t>
      </w:r>
      <w:r>
        <w:rPr>
          <w:rFonts w:hint="eastAsia" w:ascii="宋体" w:hAnsi="宋体" w:cs="Times New Roman"/>
          <w:bCs/>
          <w:color w:val="auto"/>
          <w:sz w:val="24"/>
          <w:highlight w:val="none"/>
        </w:rPr>
        <w:t xml:space="preserve">.1.1</w:t>
      </w:r>
      <w:r>
        <w:rPr>
          <w:rFonts w:hint="eastAsia" w:ascii="宋体" w:hAnsi="宋体" w:cs="Times New Roman"/>
          <w:bCs/>
          <w:color w:val="auto"/>
          <w:sz w:val="24"/>
          <w:highlight w:val="none"/>
          <w:lang w:val="en-US" w:eastAsia="zh-CN"/>
        </w:rPr>
        <w:t xml:space="preserve">2</w:t>
      </w:r>
      <w:r>
        <w:rPr>
          <w:rFonts w:hint="eastAsia" w:ascii="宋体" w:hAnsi="宋体" w:cs="Times New Roman"/>
          <w:bCs/>
          <w:color w:val="auto"/>
          <w:sz w:val="24"/>
          <w:highlight w:val="none"/>
        </w:rPr>
        <w:t xml:space="preserve">不同的投标人投标文件制作机器码、文件创建标识码一致的。</w:t>
      </w:r>
      <w:r/>
    </w:p>
    <w:p>
      <w:pPr>
        <w:ind w:firstLine="480"/>
        <w:spacing w:line="360" w:lineRule="auto"/>
        <w:rPr>
          <w:rFonts w:hint="eastAsia" w:ascii="宋体" w:hAnsi="宋体" w:cs="Times New Roman"/>
          <w:bCs/>
          <w:color w:val="auto"/>
          <w:sz w:val="24"/>
          <w:highlight w:val="none"/>
        </w:rPr>
      </w:pPr>
      <w:r>
        <w:rPr>
          <w:rFonts w:hint="eastAsia" w:ascii="宋体" w:hAnsi="宋体" w:cs="Times New Roman"/>
          <w:bCs/>
          <w:color w:val="auto"/>
          <w:sz w:val="24"/>
          <w:highlight w:val="none"/>
        </w:rPr>
        <w:t xml:space="preserve">26.1.1</w:t>
      </w:r>
      <w:r>
        <w:rPr>
          <w:rFonts w:hint="eastAsia" w:ascii="宋体" w:hAnsi="宋体" w:cs="Times New Roman"/>
          <w:bCs/>
          <w:color w:val="auto"/>
          <w:sz w:val="24"/>
          <w:highlight w:val="none"/>
          <w:lang w:val="en-US" w:eastAsia="zh-CN"/>
        </w:rPr>
        <w:t xml:space="preserve">3</w:t>
      </w:r>
      <w:r>
        <w:rPr>
          <w:rFonts w:hint="eastAsia" w:ascii="宋体" w:hAnsi="宋体" w:cs="Times New Roman"/>
          <w:bCs/>
          <w:color w:val="auto"/>
          <w:sz w:val="24"/>
          <w:highlight w:val="none"/>
        </w:rPr>
        <w:t xml:space="preserve">其他法律、法规及本招标文件规定的属无效投标的情形。</w:t>
      </w:r>
      <w:r/>
    </w:p>
    <w:p>
      <w:pPr>
        <w:ind w:left="479"/>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8</w:t>
      </w:r>
      <w:r>
        <w:rPr>
          <w:rFonts w:hint="eastAsia" w:ascii="宋体" w:hAnsi="宋体"/>
          <w:bCs/>
          <w:color w:val="auto"/>
          <w:sz w:val="24"/>
          <w:szCs w:val="21"/>
          <w:highlight w:val="none"/>
        </w:rPr>
        <w:t xml:space="preserve">.2废标条款</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.2.1符合专业条件的供应商或者对招标文件作实质响应的供应商不足三家的。</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.2.2出现影响采购公正的违法、违规行为的。</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.2.3因重大变故，采购任务取消的。</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.2.4评标委员会认定招标文件存在歧义、重大缺陷导致评审工作无法进行。</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.2.5因苏采云系统系统故障原因造成开标不成功的。</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.3投标截止时间结束后参加投标的供应商不足三家的处理：</w:t>
      </w:r>
      <w:r/>
    </w:p>
    <w:p>
      <w:pPr>
        <w:ind w:firstLine="480"/>
        <w:pageBreakBefore w:val="0"/>
        <w:spacing w:line="360" w:lineRule="auto"/>
        <w:widowControl w:val="off"/>
        <w:rPr>
          <w:rFonts w:hint="eastAsia"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2</w:t>
      </w:r>
      <w:r>
        <w:rPr>
          <w:rFonts w:hint="eastAsia" w:ascii="宋体" w:hAnsi="宋体" w:eastAsia="宋体" w:cs="Times New Roman"/>
          <w:bCs/>
          <w:color w:val="auto"/>
          <w:sz w:val="24"/>
          <w:szCs w:val="21"/>
          <w:highlight w:val="none"/>
          <w:lang w:val="en-US" w:eastAsia="zh-CN"/>
        </w:rPr>
        <w:t xml:space="preserve">8</w:t>
      </w:r>
      <w:r>
        <w:rPr>
          <w:rFonts w:hint="eastAsia" w:ascii="宋体" w:hAnsi="宋体" w:eastAsia="宋体" w:cs="Times New Roman"/>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pageBreakBefore w:val="0"/>
        <w:spacing w:before="145" w:after="145" w:line="360" w:lineRule="auto"/>
        <w:widowControl w:val="off"/>
        <w:rPr>
          <w:rFonts w:hint="eastAsia"/>
          <w:b/>
          <w:bCs/>
          <w:color w:val="auto"/>
          <w:sz w:val="32"/>
          <w:szCs w:val="32"/>
          <w:highlight w:val="none"/>
        </w:rPr>
        <w:outlineLvl w:val="2"/>
      </w:pPr>
      <w:r/>
      <w:bookmarkStart w:id="154" w:name="_Toc120614219"/>
      <w:r>
        <w:rPr>
          <w:rFonts w:hint="eastAsia"/>
          <w:b/>
          <w:bCs/>
          <w:color w:val="auto"/>
          <w:sz w:val="32"/>
          <w:szCs w:val="32"/>
          <w:highlight w:val="none"/>
        </w:rPr>
        <w:t xml:space="preserve">六、</w:t>
      </w:r>
      <w:bookmarkEnd w:id="151"/>
      <w:r/>
      <w:bookmarkEnd w:id="152"/>
      <w:r/>
      <w:bookmarkEnd w:id="153"/>
      <w:r>
        <w:rPr>
          <w:rFonts w:hint="eastAsia"/>
          <w:b/>
          <w:bCs/>
          <w:color w:val="auto"/>
          <w:sz w:val="32"/>
          <w:szCs w:val="32"/>
          <w:highlight w:val="none"/>
        </w:rPr>
        <w:t xml:space="preserve">定标</w:t>
      </w:r>
      <w:bookmarkEnd w:id="154"/>
      <w:r/>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bookmarkStart w:id="155" w:name="_Toc513029238"/>
      <w:r/>
      <w:bookmarkStart w:id="156" w:name="_Toc16938554"/>
      <w:r/>
      <w:bookmarkStart w:id="157" w:name="_Toc20823310"/>
      <w:r>
        <w:rPr>
          <w:rFonts w:hint="eastAsia" w:ascii="黑体" w:hAnsi="宋体" w:eastAsia="黑体"/>
          <w:bCs/>
          <w:color w:val="auto"/>
          <w:sz w:val="30"/>
          <w:szCs w:val="30"/>
          <w:highlight w:val="none"/>
        </w:rPr>
        <w:t xml:space="preserve">2</w:t>
      </w:r>
      <w:r>
        <w:rPr>
          <w:rFonts w:hint="eastAsia" w:ascii="黑体" w:hAnsi="宋体" w:eastAsia="黑体"/>
          <w:bCs/>
          <w:color w:val="auto"/>
          <w:sz w:val="30"/>
          <w:szCs w:val="30"/>
          <w:highlight w:val="none"/>
          <w:lang w:val="en-US" w:eastAsia="zh-CN"/>
        </w:rPr>
        <w:t xml:space="preserve">9</w:t>
      </w:r>
      <w:r>
        <w:rPr>
          <w:rFonts w:hint="eastAsia" w:ascii="黑体" w:hAnsi="宋体" w:eastAsia="黑体"/>
          <w:bCs/>
          <w:color w:val="auto"/>
          <w:sz w:val="30"/>
          <w:szCs w:val="30"/>
          <w:highlight w:val="none"/>
        </w:rPr>
        <w:t xml:space="preserve">、</w:t>
      </w:r>
      <w:bookmarkEnd w:id="155"/>
      <w:r>
        <w:rPr>
          <w:rFonts w:hint="eastAsia" w:ascii="黑体" w:hAnsi="宋体" w:eastAsia="黑体"/>
          <w:bCs/>
          <w:color w:val="auto"/>
          <w:sz w:val="30"/>
          <w:szCs w:val="30"/>
          <w:highlight w:val="none"/>
        </w:rPr>
        <w:t xml:space="preserve">确定</w:t>
      </w:r>
      <w:bookmarkEnd w:id="156"/>
      <w:r/>
      <w:bookmarkEnd w:id="157"/>
      <w:r>
        <w:rPr>
          <w:rFonts w:hint="eastAsia" w:ascii="黑体" w:hAnsi="宋体" w:eastAsia="黑体"/>
          <w:bCs/>
          <w:color w:val="auto"/>
          <w:sz w:val="30"/>
          <w:szCs w:val="30"/>
          <w:highlight w:val="none"/>
        </w:rPr>
        <w:t xml:space="preserve">中标单位</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9</w:t>
      </w:r>
      <w:r>
        <w:rPr>
          <w:rFonts w:hint="eastAsia" w:ascii="宋体" w:hAnsi="宋体"/>
          <w:bCs/>
          <w:color w:val="auto"/>
          <w:sz w:val="24"/>
          <w:szCs w:val="21"/>
          <w:highlight w:val="none"/>
        </w:rPr>
        <w:t xml:space="preserve">.1中标候选人的选取原则和数量见招标文件第五章规定。 </w:t>
      </w:r>
      <w:r/>
    </w:p>
    <w:p>
      <w:pPr>
        <w:ind w:firstLine="480"/>
        <w:pageBreakBefore w:val="0"/>
        <w:spacing w:line="360" w:lineRule="auto"/>
        <w:widowControl w:val="off"/>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hint="eastAsia" w:ascii="宋体" w:hAnsi="宋体"/>
          <w:bCs/>
          <w:color w:val="auto"/>
          <w:sz w:val="24"/>
          <w:szCs w:val="21"/>
          <w:highlight w:val="none"/>
          <w:lang w:val="en-US" w:eastAsia="zh-CN"/>
        </w:rPr>
        <w:t xml:space="preserve">9</w:t>
      </w:r>
      <w:r>
        <w:rPr>
          <w:rFonts w:hint="eastAsia" w:ascii="宋体" w:hAnsi="宋体"/>
          <w:bCs/>
          <w:color w:val="auto"/>
          <w:sz w:val="24"/>
          <w:szCs w:val="21"/>
          <w:highlight w:val="none"/>
        </w:rPr>
        <w:t xml:space="preserve">.2采购人应根据评委会推荐的中标候选人确定中标人。</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.3</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将在“江苏政府采购网”发布中标公告，公告期限为1个工作日。</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.4若有充分证据证明，中标人出现下列情况之一的，一经查实，将被取消中标资格：</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.4.1提供虚假材料谋取中标的。</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.4.2向采购人、交易中心行贿或者提供其他不正当利益的。</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.4.3属于本文件规定的无效条件，但在评标过程中又未被评委会发现的。</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.4.4与采购人或者其他供应商恶意串通的。</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.4.5采取不正当手段诋毁、排挤其他供应商的。</w:t>
      </w:r>
      <w:r/>
    </w:p>
    <w:p>
      <w:pPr>
        <w:ind w:firstLine="480"/>
        <w:pageBreakBefore w:val="0"/>
        <w:spacing w:line="360" w:lineRule="auto"/>
        <w:widowControl w:val="off"/>
        <w:rPr>
          <w:rFonts w:ascii="宋体" w:hAnsi="宋体"/>
          <w:color w:val="auto"/>
          <w:sz w:val="24"/>
          <w:szCs w:val="24"/>
          <w:highlight w:val="none"/>
        </w:rPr>
      </w:pPr>
      <w:r/>
      <w:bookmarkStart w:id="158" w:name="_Toc200451960"/>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w:t>
      </w:r>
      <w:r>
        <w:rPr>
          <w:rFonts w:hint="eastAsia"/>
          <w:color w:val="auto"/>
          <w:szCs w:val="21"/>
          <w:highlight w:val="none"/>
        </w:rPr>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.5.1不同投标人的投标文件由同一单位或者个人编制；</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.5.2不同投标人委托同一单位或者个人办理投标事宜；</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.5.3不同投标人的投标文件载明的项目管理成员或者联系人员为同一人；</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9</w:t>
      </w:r>
      <w:r>
        <w:rPr>
          <w:rFonts w:hint="eastAsia" w:ascii="宋体" w:hAnsi="宋体"/>
          <w:color w:val="auto"/>
          <w:sz w:val="24"/>
          <w:szCs w:val="24"/>
          <w:highlight w:val="none"/>
        </w:rPr>
        <w:t xml:space="preserve">.5.4不同投标人的投标文件异常一致或者投标报价呈规律性差异；</w:t>
      </w:r>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lang w:val="en-US" w:eastAsia="zh-CN"/>
        </w:rPr>
        <w:t xml:space="preserve">30</w:t>
      </w:r>
      <w:r>
        <w:rPr>
          <w:rFonts w:hint="eastAsia" w:ascii="黑体" w:hAnsi="宋体" w:eastAsia="黑体"/>
          <w:bCs/>
          <w:color w:val="auto"/>
          <w:sz w:val="30"/>
          <w:szCs w:val="30"/>
          <w:highlight w:val="none"/>
        </w:rPr>
        <w:t xml:space="preserve">、质疑处理</w:t>
      </w:r>
      <w:bookmarkEnd w:id="158"/>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或采购人提出质疑。上述应知其权益受到损害之日，是指：</w:t>
      </w:r>
      <w:r/>
    </w:p>
    <w:p>
      <w:pPr>
        <w:ind w:firstLine="480"/>
        <w:pageBreakBefore w:val="0"/>
        <w:spacing w:line="360" w:lineRule="auto"/>
        <w:widowControl w:val="off"/>
        <w:rPr>
          <w:rFonts w:hint="eastAsia" w:hAnsi="宋体" w:cs="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.2.1</w:t>
      </w:r>
      <w:r>
        <w:rPr>
          <w:rFonts w:hAnsi="宋体" w:cs="宋体"/>
          <w:color w:val="auto"/>
          <w:sz w:val="24"/>
          <w:szCs w:val="24"/>
          <w:highlight w:val="none"/>
        </w:rPr>
        <w:t xml:space="preserve">对可以质疑的采购文件提出质疑的，为收到采购文件之日或者采购文件公告期限届满之日；</w:t>
      </w:r>
      <w:r>
        <w:rPr>
          <w:rFonts w:hAnsi="宋体" w:cs="宋体"/>
          <w:color w:val="auto"/>
          <w:sz w:val="24"/>
          <w:szCs w:val="24"/>
          <w:highlight w:val="none"/>
        </w:rPr>
        <w:br w:type="textWrapping" w:clear="all"/>
      </w:r>
      <w:r>
        <w:rPr>
          <w:rFonts w:hAnsi="宋体" w:cs="宋体"/>
          <w:color w:val="auto"/>
          <w:sz w:val="24"/>
          <w:szCs w:val="24"/>
          <w:highlight w:val="none"/>
        </w:rPr>
        <w:t xml:space="preserve">　　  </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.2.2</w:t>
      </w:r>
      <w:r>
        <w:rPr>
          <w:rFonts w:hAnsi="宋体" w:cs="宋体"/>
          <w:color w:val="auto"/>
          <w:sz w:val="24"/>
          <w:szCs w:val="24"/>
          <w:highlight w:val="none"/>
        </w:rPr>
        <w:t xml:space="preserve">对采购过程提出质疑的，为各采购程序环节结束之日；</w:t>
      </w:r>
      <w:r>
        <w:rPr>
          <w:rFonts w:hAnsi="宋体" w:cs="宋体"/>
          <w:color w:val="auto"/>
          <w:sz w:val="24"/>
          <w:szCs w:val="24"/>
          <w:highlight w:val="none"/>
        </w:rPr>
        <w:br w:type="textWrapping" w:clear="all"/>
      </w:r>
      <w:r>
        <w:rPr>
          <w:rFonts w:hAnsi="宋体" w:cs="宋体"/>
          <w:color w:val="auto"/>
          <w:sz w:val="24"/>
          <w:szCs w:val="24"/>
          <w:highlight w:val="none"/>
        </w:rPr>
        <w:t xml:space="preserve">　　  </w:t>
      </w: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.2.3</w:t>
      </w:r>
      <w:r>
        <w:rPr>
          <w:rFonts w:hAnsi="宋体" w:cs="宋体"/>
          <w:color w:val="auto"/>
          <w:sz w:val="24"/>
          <w:szCs w:val="24"/>
          <w:highlight w:val="none"/>
        </w:rPr>
        <w:t xml:space="preserve">对中标或者成交结果提出质疑的，为中标或者成交结果公告期限届满之日。</w:t>
      </w:r>
      <w:r/>
    </w:p>
    <w:p>
      <w:pPr>
        <w:ind w:firstLine="480"/>
        <w:pageBreakBefore w:val="0"/>
        <w:spacing w:line="360" w:lineRule="auto"/>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bCs/>
          <w:color w:val="auto"/>
          <w:sz w:val="24"/>
          <w:szCs w:val="21"/>
          <w:highlight w:val="none"/>
        </w:rPr>
        <w:t xml:space="preserve">采购代理机构</w:t>
      </w:r>
      <w:r>
        <w:rPr>
          <w:rFonts w:hint="eastAsia" w:hAnsi="宋体" w:cs="宋体"/>
          <w:color w:val="auto"/>
          <w:sz w:val="24"/>
          <w:szCs w:val="24"/>
          <w:highlight w:val="none"/>
        </w:rPr>
        <w:t xml:space="preserve">、</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.4供应商（含潜在</w:t>
      </w:r>
      <w:r>
        <w:rPr>
          <w:rFonts w:ascii="宋体" w:hAnsi="宋体"/>
          <w:color w:val="auto"/>
          <w:sz w:val="24"/>
          <w:szCs w:val="24"/>
          <w:highlight w:val="none"/>
        </w:rPr>
        <w:t xml:space="preserve">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招标文件中采购</w:t>
      </w:r>
      <w:r>
        <w:rPr>
          <w:rFonts w:ascii="宋体" w:hAnsi="宋体"/>
          <w:color w:val="auto"/>
          <w:sz w:val="24"/>
          <w:szCs w:val="24"/>
          <w:highlight w:val="none"/>
        </w:rPr>
        <w:t xml:space="preserve">需求、</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资格</w:t>
      </w:r>
      <w:r>
        <w:rPr>
          <w:rFonts w:hint="eastAsia" w:ascii="宋体" w:hAnsi="宋体"/>
          <w:color w:val="auto"/>
          <w:sz w:val="24"/>
          <w:szCs w:val="24"/>
          <w:highlight w:val="none"/>
        </w:rPr>
        <w:t xml:space="preserve">审查结果的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采购人只接收以纸质原件形式送达的质疑,建议供应商尽量通过邮寄方式提交质疑（采购人不接受未填写快递运单的快件）。</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 以下情形的质疑不予受理</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.5.1 内容不符合《政府采购质疑和投诉办法》第十二条规定的质疑。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.5.2 超出政府采购法定期限的质疑。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.5.3 以传真、电子邮件等方式递交的非原件形式的质疑。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.5.4 未参加投标活动的供应商或在投标活动中自身权益未受到损害的供应商所提出的质疑。</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.5.5供应商组成联合体参加投标，联合体中任何一方或多方未按要求签字、盖章、加盖公章的质疑。</w:t>
      </w:r>
      <w:r/>
    </w:p>
    <w:p>
      <w:pPr>
        <w:ind w:firstLine="468"/>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30</w:t>
      </w:r>
      <w:r>
        <w:rPr>
          <w:rFonts w:hint="eastAsia" w:ascii="宋体" w:hAnsi="宋体"/>
          <w:color w:val="auto"/>
          <w:sz w:val="24"/>
          <w:szCs w:val="24"/>
          <w:highlight w:val="none"/>
        </w:rPr>
        <w:t xml:space="preserve">.6供应商提出书面质疑必须有理、有据，不得捏造事实、提供虚假材料进行恶意质疑。否则，一经查实，</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1</w:t>
      </w:r>
      <w:r>
        <w:rPr>
          <w:rFonts w:hint="eastAsia" w:ascii="黑体" w:hAnsi="宋体" w:eastAsia="黑体"/>
          <w:bCs/>
          <w:color w:val="auto"/>
          <w:sz w:val="30"/>
          <w:szCs w:val="30"/>
          <w:highlight w:val="none"/>
        </w:rPr>
        <w:t xml:space="preserve">、中标通知书</w:t>
      </w:r>
      <w:r/>
    </w:p>
    <w:p>
      <w:pPr>
        <w:ind w:firstLine="600"/>
        <w:pageBreakBefore w:val="0"/>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.l中标结果确定后，</w:t>
      </w:r>
      <w:r>
        <w:rPr>
          <w:rFonts w:hint="eastAsia" w:ascii="宋体" w:hAnsi="宋体"/>
          <w:bCs/>
          <w:color w:val="auto"/>
          <w:sz w:val="24"/>
          <w:szCs w:val="21"/>
          <w:highlight w:val="none"/>
        </w:rPr>
        <w:t xml:space="preserve">采购代理机构</w:t>
      </w:r>
      <w:r>
        <w:rPr>
          <w:rFonts w:hint="eastAsia" w:ascii="宋体" w:hAnsi="宋体"/>
          <w:color w:val="auto"/>
          <w:sz w:val="24"/>
          <w:szCs w:val="24"/>
          <w:highlight w:val="none"/>
        </w:rPr>
        <w:t xml:space="preserve">将向中标人发出中标通知书。</w:t>
      </w:r>
      <w:r/>
    </w:p>
    <w:p>
      <w:pPr>
        <w:ind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b/>
          <w:bCs/>
          <w:color w:val="auto"/>
          <w:sz w:val="32"/>
          <w:szCs w:val="32"/>
          <w:highlight w:val="none"/>
        </w:rPr>
        <w:outlineLvl w:val="2"/>
      </w:pPr>
      <w:r/>
      <w:bookmarkStart w:id="159" w:name="_Toc120614220"/>
      <w:r/>
      <w:bookmarkStart w:id="160" w:name="_Toc16938552"/>
      <w:r/>
      <w:bookmarkStart w:id="161" w:name="_Toc20823308"/>
      <w:r/>
      <w:bookmarkStart w:id="162" w:name="_Toc513029236"/>
      <w:r>
        <w:rPr>
          <w:rFonts w:hint="eastAsia"/>
          <w:b/>
          <w:bCs/>
          <w:color w:val="auto"/>
          <w:sz w:val="32"/>
          <w:szCs w:val="32"/>
          <w:highlight w:val="none"/>
        </w:rPr>
        <w:t xml:space="preserve">七、授予合同</w:t>
      </w:r>
      <w:bookmarkEnd w:id="159"/>
      <w:r/>
      <w:bookmarkEnd w:id="160"/>
      <w:bookmarkEnd w:id="161"/>
      <w:bookmarkEnd w:id="162"/>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bookmarkStart w:id="163" w:name="_Toc16938553"/>
      <w:r/>
      <w:bookmarkStart w:id="164" w:name="_Toc20823309"/>
      <w:r/>
      <w:bookmarkStart w:id="165" w:name="_Toc513029237"/>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2</w:t>
      </w:r>
      <w:r>
        <w:rPr>
          <w:rFonts w:hint="eastAsia" w:ascii="黑体" w:hAnsi="宋体" w:eastAsia="黑体"/>
          <w:bCs/>
          <w:color w:val="auto"/>
          <w:sz w:val="30"/>
          <w:szCs w:val="30"/>
          <w:highlight w:val="none"/>
        </w:rPr>
        <w:t xml:space="preserve">、签订合同</w:t>
      </w:r>
      <w:r/>
    </w:p>
    <w:p>
      <w:pPr>
        <w:ind w:firstLine="600"/>
        <w:pageBreakBefore w:val="0"/>
        <w:spacing w:line="360" w:lineRule="auto"/>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rPr>
          <w:rFonts w:hint="eastAsia" w:ascii="宋体" w:hAnsi="宋体"/>
          <w:color w:val="auto"/>
          <w:sz w:val="24"/>
          <w:highlight w:val="none"/>
          <w:lang w:val="zh-CN"/>
        </w:rPr>
        <w:t xml:space="preserve">采购人于合同签订后2个工作日内通过苏采云系统进行公示。</w:t>
      </w:r>
      <w:r/>
    </w:p>
    <w:p>
      <w:pPr>
        <w:ind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.3签订合同后，</w:t>
      </w:r>
      <w:r>
        <w:rPr>
          <w:rFonts w:hint="eastAsia" w:ascii="宋体" w:hAnsi="宋体"/>
          <w:iCs/>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3</w:t>
      </w:r>
      <w:r>
        <w:rPr>
          <w:rFonts w:hint="eastAsia" w:ascii="黑体" w:hAnsi="宋体" w:eastAsia="黑体"/>
          <w:bCs/>
          <w:color w:val="auto"/>
          <w:sz w:val="30"/>
          <w:szCs w:val="30"/>
          <w:highlight w:val="none"/>
        </w:rPr>
        <w:t xml:space="preserve">、服务（包含与服务相关的货物）的追加</w:t>
      </w:r>
      <w:r/>
    </w:p>
    <w:p>
      <w:pPr>
        <w:ind w:firstLine="48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32.1政府采购合同履行中，采购人需追加与合同标的相同的货物（包含与服务相关的货物）的，在不改变合同其他条款的前提下，可以与中标人协商签订补充合同，但所有补充合同的采购金额不超过原合同金额10%。</w:t>
      </w:r>
      <w:bookmarkEnd w:id="163"/>
      <w:bookmarkEnd w:id="164"/>
      <w:bookmarkEnd w:id="165"/>
      <w:r/>
    </w:p>
    <w:p>
      <w:pPr>
        <w:ind w:firstLine="600"/>
        <w:keepLines/>
        <w:keepNext/>
        <w:pageBreakBefore w:val="0"/>
        <w:spacing w:line="360" w:lineRule="auto"/>
        <w:widowControl w:val="off"/>
        <w:rPr>
          <w:rFonts w:ascii="黑体" w:hAnsi="宋体" w:eastAsia="黑体"/>
          <w:bCs/>
          <w:color w:val="auto"/>
          <w:sz w:val="30"/>
          <w:szCs w:val="30"/>
          <w:highlight w:val="none"/>
        </w:rPr>
        <w:outlineLvl w:val="3"/>
      </w:pPr>
      <w:r/>
      <w:bookmarkStart w:id="166" w:name="_Toc20823314"/>
      <w:r/>
      <w:bookmarkStart w:id="167" w:name="_Toc479757207"/>
      <w:r/>
      <w:bookmarkStart w:id="168" w:name="_Toc120614221"/>
      <w:r/>
      <w:bookmarkStart w:id="169" w:name="_Toc16938558"/>
      <w:r/>
      <w:bookmarkStart w:id="170" w:name="_Toc513029242"/>
      <w:r>
        <w:rPr>
          <w:rFonts w:hint="eastAsia" w:ascii="黑体" w:hAnsi="宋体" w:eastAsia="黑体"/>
          <w:bCs/>
          <w:color w:val="auto"/>
          <w:sz w:val="30"/>
          <w:szCs w:val="30"/>
          <w:highlight w:val="none"/>
        </w:rPr>
        <w:t xml:space="preserve">3</w:t>
      </w:r>
      <w:r>
        <w:rPr>
          <w:rFonts w:hint="eastAsia" w:ascii="黑体" w:hAnsi="宋体" w:eastAsia="黑体"/>
          <w:bCs/>
          <w:color w:val="auto"/>
          <w:sz w:val="30"/>
          <w:szCs w:val="30"/>
          <w:highlight w:val="none"/>
          <w:lang w:val="en-US" w:eastAsia="zh-CN"/>
        </w:rPr>
        <w:t xml:space="preserve">4</w:t>
      </w:r>
      <w:r>
        <w:rPr>
          <w:rFonts w:hint="eastAsia" w:ascii="黑体" w:hAnsi="宋体" w:eastAsia="黑体"/>
          <w:bCs/>
          <w:color w:val="auto"/>
          <w:sz w:val="30"/>
          <w:szCs w:val="30"/>
          <w:highlight w:val="none"/>
        </w:rPr>
        <w:t xml:space="preserve">、政府采购履约资金扶持政策</w:t>
      </w:r>
      <w:r/>
    </w:p>
    <w:p>
      <w:pPr>
        <w:ind w:firstLine="555"/>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中标供应商可凭政府采购合同办理融资贷款，详情请见江苏政府采购网“政采贷”专栏。</w:t>
      </w:r>
      <w:r/>
    </w:p>
    <w:p>
      <w:pPr>
        <w:numPr>
          <w:ilvl w:val="0"/>
          <w:numId w:val="6"/>
        </w:numPr>
        <w:ind w:firstLine="600"/>
        <w:keepLines/>
        <w:keepNext/>
        <w:pageBreakBefore w:val="0"/>
        <w:spacing w:line="360" w:lineRule="auto"/>
        <w:widowControl w:val="off"/>
        <w:rPr>
          <w:rFonts w:hint="eastAsia" w:ascii="黑体" w:hAnsi="宋体" w:eastAsia="黑体"/>
          <w:bCs/>
          <w:color w:val="auto"/>
          <w:sz w:val="30"/>
          <w:szCs w:val="30"/>
          <w:highlight w:val="none"/>
        </w:rPr>
        <w:outlineLvl w:val="3"/>
      </w:pPr>
      <w:r>
        <w:rPr>
          <w:rFonts w:hint="eastAsia" w:ascii="黑体" w:hAnsi="宋体" w:eastAsia="黑体"/>
          <w:bCs/>
          <w:color w:val="auto"/>
          <w:sz w:val="30"/>
          <w:szCs w:val="30"/>
          <w:highlight w:val="none"/>
        </w:rPr>
        <w:t xml:space="preserve">履约保证金</w:t>
      </w:r>
      <w:r/>
    </w:p>
    <w:p>
      <w:pPr>
        <w:ind w:firstLine="555"/>
        <w:pageBreakBefore w:val="0"/>
        <w:spacing w:line="360" w:lineRule="auto"/>
        <w:widowControl w:val="off"/>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本项目不收履约保证金。</w:t>
      </w:r>
      <w:r/>
    </w:p>
    <w:p>
      <w:pPr>
        <w:ind w:firstLine="600"/>
        <w:keepLines/>
        <w:keepNext/>
        <w:pageBreakBefore w:val="0"/>
        <w:spacing w:line="360" w:lineRule="auto"/>
        <w:widowControl w:val="off"/>
        <w:rPr>
          <w:rFonts w:hint="eastAsia" w:ascii="黑体" w:hAnsi="宋体" w:eastAsia="黑体" w:cs="Times New Roman"/>
          <w:bCs/>
          <w:color w:val="auto"/>
          <w:sz w:val="30"/>
          <w:szCs w:val="30"/>
          <w:highlight w:val="none"/>
        </w:rPr>
        <w:outlineLvl w:val="3"/>
      </w:pPr>
      <w:r>
        <w:rPr>
          <w:rFonts w:hint="eastAsia" w:ascii="黑体" w:hAnsi="宋体" w:eastAsia="黑体" w:cs="Times New Roman"/>
          <w:bCs/>
          <w:color w:val="auto"/>
          <w:sz w:val="30"/>
          <w:szCs w:val="30"/>
          <w:highlight w:val="none"/>
        </w:rPr>
        <w:t xml:space="preserve">3</w:t>
      </w:r>
      <w:r>
        <w:rPr>
          <w:rFonts w:hint="eastAsia" w:ascii="黑体" w:hAnsi="宋体" w:eastAsia="黑体" w:cs="Times New Roman"/>
          <w:bCs/>
          <w:color w:val="auto"/>
          <w:sz w:val="30"/>
          <w:szCs w:val="30"/>
          <w:highlight w:val="none"/>
          <w:lang w:val="en-US" w:eastAsia="zh-CN"/>
        </w:rPr>
        <w:t xml:space="preserve">6</w:t>
      </w:r>
      <w:r>
        <w:rPr>
          <w:rFonts w:hint="eastAsia" w:ascii="黑体" w:hAnsi="宋体" w:eastAsia="黑体" w:cs="Times New Roman"/>
          <w:bCs/>
          <w:color w:val="auto"/>
          <w:sz w:val="30"/>
          <w:szCs w:val="30"/>
          <w:highlight w:val="none"/>
        </w:rPr>
        <w:t xml:space="preserve">、履约验收</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36</w:t>
      </w:r>
      <w:r>
        <w:rPr>
          <w:rFonts w:hint="eastAsia" w:ascii="宋体" w:hAnsi="宋体" w:cs="Times New Roman"/>
          <w:bCs/>
          <w:color w:val="auto"/>
          <w:sz w:val="24"/>
          <w:szCs w:val="24"/>
          <w:highlight w:val="none"/>
        </w:rPr>
        <w:t xml:space="preserve">.1</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依法组织履约验收工作。</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36</w:t>
      </w:r>
      <w:r>
        <w:rPr>
          <w:rFonts w:hint="eastAsia" w:ascii="宋体" w:hAnsi="宋体" w:cs="Times New Roman"/>
          <w:bCs/>
          <w:color w:val="auto"/>
          <w:sz w:val="24"/>
          <w:szCs w:val="24"/>
          <w:highlight w:val="none"/>
        </w:rPr>
        <w:t xml:space="preserve">.2</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w:t>
      </w:r>
      <w:r>
        <w:rPr>
          <w:rFonts w:hint="eastAsia" w:ascii="宋体" w:hAnsi="宋体" w:cs="Times New Roman"/>
          <w:bCs/>
          <w:color w:val="auto"/>
          <w:sz w:val="24"/>
          <w:szCs w:val="24"/>
          <w:highlight w:val="none"/>
          <w:lang w:val="en-US" w:eastAsia="zh-CN"/>
        </w:rPr>
        <w:t xml:space="preserve">投标人</w:t>
      </w:r>
      <w:r>
        <w:rPr>
          <w:rFonts w:hint="eastAsia" w:ascii="宋体" w:hAnsi="宋体" w:cs="Times New Roman"/>
          <w:bCs/>
          <w:color w:val="auto"/>
          <w:sz w:val="24"/>
          <w:szCs w:val="24"/>
          <w:highlight w:val="none"/>
        </w:rPr>
        <w:t xml:space="preserve">应根据验收方案做好相应配合工作。</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36</w:t>
      </w:r>
      <w:r>
        <w:rPr>
          <w:rFonts w:hint="eastAsia" w:ascii="宋体" w:hAnsi="宋体" w:cs="Times New Roman"/>
          <w:bCs/>
          <w:color w:val="auto"/>
          <w:sz w:val="24"/>
          <w:szCs w:val="24"/>
          <w:highlight w:val="none"/>
        </w:rPr>
        <w:t xml:space="preserve">.3对于实际使用人和</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分离的项目，</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邀请实际使用人参与验收。</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36</w:t>
      </w:r>
      <w:r>
        <w:rPr>
          <w:rFonts w:hint="eastAsia" w:ascii="宋体" w:hAnsi="宋体" w:cs="Times New Roman"/>
          <w:bCs/>
          <w:color w:val="auto"/>
          <w:sz w:val="24"/>
          <w:szCs w:val="24"/>
          <w:highlight w:val="none"/>
        </w:rPr>
        <w:t xml:space="preserve">.4如有必要，</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可邀请参加本项目投标的其他供应商或第三方专业机构及专家参与验收，相关意见将作为验收结论的参考。</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36</w:t>
      </w:r>
      <w:r>
        <w:rPr>
          <w:rFonts w:hint="eastAsia" w:ascii="宋体" w:hAnsi="宋体" w:cs="Times New Roman"/>
          <w:bCs/>
          <w:color w:val="auto"/>
          <w:sz w:val="24"/>
          <w:szCs w:val="24"/>
          <w:highlight w:val="none"/>
        </w:rPr>
        <w:t xml:space="preserve">.5</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成立验收小组，按照采购合同约定对</w:t>
      </w:r>
      <w:r>
        <w:rPr>
          <w:rFonts w:hint="eastAsia" w:ascii="宋体" w:hAnsi="宋体" w:cs="Times New Roman"/>
          <w:bCs/>
          <w:color w:val="auto"/>
          <w:sz w:val="24"/>
          <w:szCs w:val="24"/>
          <w:highlight w:val="none"/>
          <w:lang w:val="en-US" w:eastAsia="zh-CN"/>
        </w:rPr>
        <w:t xml:space="preserve">投标人</w:t>
      </w:r>
      <w:r>
        <w:rPr>
          <w:rFonts w:hint="eastAsia" w:ascii="宋体" w:hAnsi="宋体" w:cs="Times New Roman"/>
          <w:bCs/>
          <w:color w:val="auto"/>
          <w:sz w:val="24"/>
          <w:szCs w:val="24"/>
          <w:highlight w:val="none"/>
        </w:rPr>
        <w:t xml:space="preserve">的履约情况进行验收。验收时间、验收标准见招标文件。验收时</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按照采购合同的约定对每一项服务的履约情况进行确认。验收结束后，验收小组出具验收书，列明各项服务的验收情况及项目总体评价，由验收双方共同签署。验收结果与采购合同约定的资金支付挂钩。履约验收的各项资料存档备查。</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36</w:t>
      </w:r>
      <w:r>
        <w:rPr>
          <w:rFonts w:hint="eastAsia" w:ascii="宋体" w:hAnsi="宋体" w:cs="Times New Roman"/>
          <w:bCs/>
          <w:color w:val="auto"/>
          <w:sz w:val="24"/>
          <w:szCs w:val="24"/>
          <w:highlight w:val="none"/>
        </w:rPr>
        <w:t xml:space="preserve">.6验收合格的项目，</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根据采购合同的约定及时向</w:t>
      </w:r>
      <w:r>
        <w:rPr>
          <w:rFonts w:hint="eastAsia" w:ascii="宋体" w:hAnsi="宋体" w:cs="Times New Roman"/>
          <w:bCs/>
          <w:color w:val="auto"/>
          <w:sz w:val="24"/>
          <w:szCs w:val="24"/>
          <w:highlight w:val="none"/>
          <w:lang w:val="en-US" w:eastAsia="zh-CN"/>
        </w:rPr>
        <w:t xml:space="preserve">投标人</w:t>
      </w:r>
      <w:r>
        <w:rPr>
          <w:rFonts w:hint="eastAsia" w:ascii="宋体" w:hAnsi="宋体" w:cs="Times New Roman"/>
          <w:bCs/>
          <w:color w:val="auto"/>
          <w:sz w:val="24"/>
          <w:szCs w:val="24"/>
          <w:highlight w:val="none"/>
        </w:rPr>
        <w:t xml:space="preserve">支付合同款项。验收不合格的项目，</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依法及时处理。采购合同的履行、违约责任和解决争议的方式等适用《中华人民共和国民法典》。</w:t>
      </w:r>
      <w:r>
        <w:rPr>
          <w:rFonts w:hint="eastAsia" w:ascii="宋体" w:hAnsi="宋体" w:cs="Times New Roman"/>
          <w:bCs/>
          <w:color w:val="auto"/>
          <w:sz w:val="24"/>
          <w:szCs w:val="24"/>
          <w:highlight w:val="none"/>
          <w:lang w:val="en-US" w:eastAsia="zh-CN"/>
        </w:rPr>
        <w:t xml:space="preserve">投标人</w:t>
      </w:r>
      <w:r>
        <w:rPr>
          <w:rFonts w:hint="eastAsia" w:ascii="宋体" w:hAnsi="宋体" w:cs="Times New Roman"/>
          <w:bCs/>
          <w:color w:val="auto"/>
          <w:sz w:val="24"/>
          <w:szCs w:val="24"/>
          <w:highlight w:val="none"/>
        </w:rPr>
        <w:t xml:space="preserve">在履约过程中有政府采购法律法规规定的违法违规情形的，</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将及时报告本级财政部门。</w:t>
      </w:r>
      <w:r/>
    </w:p>
    <w:p>
      <w:pPr>
        <w:ind w:firstLine="555"/>
        <w:jc w:val="center"/>
        <w:pageBreakBefore w:val="0"/>
        <w:spacing w:line="360" w:lineRule="auto"/>
        <w:widowControl w:val="off"/>
        <w:rPr>
          <w:rFonts w:hint="eastAsia" w:ascii="黑体" w:eastAsia="黑体"/>
          <w:bCs/>
          <w:color w:val="auto"/>
          <w:sz w:val="44"/>
          <w:szCs w:val="28"/>
          <w:highlight w:val="none"/>
        </w:rPr>
      </w:pPr>
      <w:r>
        <w:rPr>
          <w:rFonts w:hint="eastAsia" w:ascii="黑体" w:eastAsia="黑体"/>
          <w:bCs/>
          <w:color w:val="auto"/>
          <w:sz w:val="44"/>
          <w:szCs w:val="28"/>
          <w:highlight w:val="none"/>
        </w:rPr>
        <w:t xml:space="preserve">第三章  合同</w:t>
      </w:r>
      <w:bookmarkEnd w:id="166"/>
      <w:r/>
      <w:bookmarkEnd w:id="167"/>
      <w:r/>
      <w:bookmarkEnd w:id="168"/>
      <w:r/>
      <w:bookmarkEnd w:id="169"/>
      <w:r/>
      <w:bookmarkEnd w:id="170"/>
      <w:r>
        <w:rPr>
          <w:rFonts w:hint="eastAsia" w:ascii="黑体" w:eastAsia="黑体"/>
          <w:bCs/>
          <w:color w:val="auto"/>
          <w:sz w:val="44"/>
          <w:szCs w:val="28"/>
          <w:highlight w:val="none"/>
        </w:rPr>
        <w:t xml:space="preserve">文本</w:t>
      </w:r>
      <w:r/>
    </w:p>
    <w:p>
      <w:pPr>
        <w:jc w:val="left"/>
        <w:spacing w:after="160" w:line="278" w:lineRule="auto"/>
        <w:rPr>
          <w:rFonts w:hint="eastAsia" w:ascii="宋体" w:hAnsi="宋体"/>
          <w:bCs/>
          <w:color w:val="auto"/>
          <w:szCs w:val="21"/>
          <w:highlight w:val="none"/>
        </w:rPr>
      </w:pPr>
      <w:r/>
      <w:bookmarkStart w:id="171" w:name="_Hlt16619350"/>
      <w:r/>
      <w:bookmarkStart w:id="172" w:name="_Toc120614244"/>
      <w:r/>
      <w:bookmarkStart w:id="173" w:name="_Toc16938590"/>
      <w:r/>
      <w:bookmarkStart w:id="174" w:name="_Toc20823346"/>
      <w:r/>
      <w:bookmarkStart w:id="175" w:name="_Toc462564139"/>
      <w:r/>
      <w:bookmarkStart w:id="176" w:name="_Toc479757211"/>
      <w:r/>
      <w:r/>
    </w:p>
    <w:p>
      <w:pPr>
        <w:jc w:val="both"/>
        <w:rPr>
          <w:rFonts w:ascii="宋体" w:hAnsi="宋体"/>
          <w:bCs/>
          <w:color w:val="auto"/>
          <w:sz w:val="24"/>
          <w:highlight w:val="none"/>
        </w:rPr>
        <w:outlineLvl w:val="0"/>
      </w:pPr>
      <w:r>
        <w:rPr>
          <w:rFonts w:hint="eastAsia" w:ascii="宋体" w:hAnsi="宋体"/>
          <w:bCs/>
          <w:color w:val="auto"/>
          <w:sz w:val="24"/>
          <w:highlight w:val="none"/>
        </w:rPr>
        <w:t xml:space="preserve">以下为本项目的合同条款，合同双方不得对招标、投标文件内容作实质性修改。</w:t>
      </w:r>
      <w:r/>
    </w:p>
    <w:p>
      <w:pPr>
        <w:pStyle w:val="869"/>
        <w:rPr>
          <w:color w:val="auto"/>
          <w:highlight w:val="none"/>
        </w:rPr>
      </w:pPr>
      <w:r>
        <w:rPr>
          <w:color w:val="auto"/>
          <w:highlight w:val="none"/>
        </w:rPr>
      </w:r>
      <w:r/>
    </w:p>
    <w:p>
      <w:pPr>
        <w:jc w:val="center"/>
        <w:rPr>
          <w:rFonts w:ascii="方正小标宋简体" w:hAnsi="方正小标宋简体" w:eastAsia="方正小标宋简体" w:cs="方正小标宋简体"/>
          <w:bCs/>
          <w:color w:val="auto"/>
          <w:sz w:val="32"/>
          <w:szCs w:val="32"/>
          <w:highlight w:val="none"/>
        </w:rPr>
        <w:outlineLvl w:val="0"/>
      </w:pPr>
      <w:r>
        <w:rPr>
          <w:rFonts w:hint="eastAsia" w:ascii="方正小标宋简体" w:hAnsi="方正小标宋简体" w:eastAsia="方正小标宋简体" w:cs="方正小标宋简体"/>
          <w:bCs/>
          <w:color w:val="auto"/>
          <w:sz w:val="32"/>
          <w:szCs w:val="32"/>
          <w:highlight w:val="none"/>
        </w:rPr>
        <w:t xml:space="preserve">政府采购合同（服务）</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合同编号：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项目名称：                                     项目编号：</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甲方：（买方）</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乙方：（卖方）</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一、合同内容</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1.2标的质量</w:t>
      </w:r>
      <w:r>
        <w:rPr>
          <w:rFonts w:hint="eastAsia" w:ascii="宋体" w:hAnsi="宋体" w:eastAsia="宋体" w:cs="宋体"/>
          <w:color w:val="auto"/>
          <w:sz w:val="24"/>
          <w:szCs w:val="24"/>
          <w:highlight w:val="none"/>
        </w:rPr>
        <w:t xml:space="preserve">：按招标文件及投标文件执行。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履行时间（期限）：按招标文件及投标文件执行。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履行地点：采购人指定地点。</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履行方式：按招标文件及投标文件执行。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包装方式：商品包装环保要求：应当按《关于印发〈商品包装政府采购需求标准（试行）〉、〈快递包装政府采购需求标准（试行）〉的通知》（财办库〔2020〕123号）文件执行。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（1）商品包装层数不得超过3层，空隙率不大于 40%；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（2）商品包装尽可能使用单一材质的包装材料，如因功能需求必需使用不同材质，不同材质间应便于分离；</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（3）商品包装中铅、汞、镉、六价铬的总含量应不大于100mg/kg；</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（4）商品包装印刷使用的油墨中挥发性有机化合物(VOCs)含量应不大于 5%（以重量计）；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（5）塑料材质商品包装上呈现的印刷颜色不得超过6 色；</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（6）纸质商品包装应使用75%以上的可再生纤维原料生产；</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（7）木质商品包装的原料应来源于可持续性森林。</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快递包装环保要求：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（1）快递包装中重金属（铅、汞、镉、六价铬）总量应不大于 100mg/kg；</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（2）快递包装印刷使用的油墨中不应添加邻苯二甲酸酯，其挥发性有机化合物(VOCs)含量应不大于5%（以重量计）；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（3）快递包装中使用纸基材的包装材料，纸基材中的有机氯的含量应不大于 150 mg/kg；</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（5）快递中使用的塑料包装袋不得使用聚氯乙烯作为原料，且原料应为单一材质制成，生物分解率大于60%；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（6）快递中使用的充气类填充物不得使用聚氯乙烯作为 原料，且原料为单一材质制成，生物分解率大于60%；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（7）快递中使用的集装袋应为单一材质制成，其重复使用次数应不小于 80 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（8）快递中应使用幅宽不大于45mm 的生物降解胶带；</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（9）快递包装中不得使用溶剂型胶粘剂；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（11）快递应使用电子面单；</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（12）直接使用商品包装作为快递包装的商品，其商品包装满足《商品包装政府采购需求标准（试行）》即可；</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（13）快递包装产品质量和封装方式应符合相关国家或行业标准技术指标要求。</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二、合同金额</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rPr>
        <w:t xml:space="preserve">本合同金额为（大写）：__________圆（________________元）人民币。</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三、技术资料</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乙方应按招标文件规定的时间向甲方提供服务（包含与服务相关的货物）的有关技术资料。</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四、知识产权</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五、产权担保</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乙方保证所交付的服务（包含与服务相关的货物）的所有权完全属于乙方且无任何抵押、查封等产权瑕疵。</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w:t>
      </w:r>
      <w:r>
        <w:rPr>
          <w:rFonts w:hint="eastAsia" w:ascii="宋体" w:hAnsi="宋体" w:eastAsia="宋体" w:cs="宋体"/>
          <w:bCs/>
          <w:color w:val="auto"/>
          <w:sz w:val="24"/>
          <w:szCs w:val="24"/>
          <w:highlight w:val="none"/>
        </w:rPr>
        <w:t xml:space="preserve">履约保证金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w:t>
      </w:r>
      <w:r>
        <w:rPr>
          <w:rFonts w:hint="eastAsia" w:ascii="宋体" w:hAnsi="宋体" w:eastAsia="宋体" w:cs="宋体"/>
          <w:color w:val="auto"/>
          <w:sz w:val="24"/>
          <w:szCs w:val="24"/>
          <w:highlight w:val="none"/>
        </w:rPr>
        <w:t xml:space="preserve">本项目乙方无需缴纳履约保证金。</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七、合同转包或分包</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乙方不得将合同标的转包给他人履行。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除招标文件接受分包并经甲方同意，乙方可按分包意向协议分包情况外，乙方不得将合同标的分包给他人履行。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乙方如有转包或未经甲方同意的分包行为，甲方有权终止合同。</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八、合同款项支付</w:t>
      </w:r>
      <w:r/>
    </w:p>
    <w:p>
      <w:pPr>
        <w:pStyle w:val="87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合同款项的支付方式及时间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合同签订后15日内，甲方支付合同总价款的70%。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8.1.2 合同服务期满15日内，甲方支付合同总价款的30%。</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九、税费</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本合同执行中的相关税费均由乙方负担。</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十、项目验收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如有必要，甲方可邀请参加本项目投标的其他供应商或第三方专业机构及专家参与验收，相关意见将作为验收结论的参考。</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挂钩。履约验收的各项资料存档备查。</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十一、违约责任</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甲方无正当理由拒绝接受乙方提供服务的，应向乙方偿付拒绝接受服务合同总额</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rPr>
        <w:t xml:space="preserve">的违约金。</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w:t>
      </w:r>
      <w:r>
        <w:rPr>
          <w:rFonts w:hint="eastAsia" w:ascii="宋体" w:hAnsi="宋体" w:eastAsia="宋体" w:cs="宋体"/>
          <w:color w:val="auto"/>
          <w:sz w:val="24"/>
          <w:szCs w:val="24"/>
          <w:highlight w:val="none"/>
        </w:rPr>
        <w:t xml:space="preserve">甲方无故逾期验收和办理支付手续的，应按逾期付款总额每日</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rPr>
        <w:t xml:space="preserve">向乙方支付违约金。</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乙方逾期提供服务的，应按逾期提供服务合同总额每日</w:t>
      </w:r>
      <w:r>
        <w:rPr>
          <w:rFonts w:hint="eastAsia" w:ascii="宋体" w:hAnsi="宋体" w:eastAsia="宋体" w:cs="宋体"/>
          <w:color w:val="auto"/>
          <w:sz w:val="24"/>
          <w:szCs w:val="24"/>
          <w:highlight w:val="none"/>
          <w:u w:val="single"/>
        </w:rPr>
        <w:t xml:space="preserve">  5‰</w:t>
      </w:r>
      <w:r>
        <w:rPr>
          <w:rFonts w:hint="eastAsia" w:ascii="宋体" w:hAnsi="宋体" w:eastAsia="宋体" w:cs="宋体"/>
          <w:color w:val="auto"/>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宋体"/>
          <w:color w:val="auto"/>
          <w:sz w:val="24"/>
          <w:szCs w:val="24"/>
          <w:highlight w:val="none"/>
        </w:rPr>
        <w:t xml:space="preserve">，应向甲方支付合同总额</w:t>
      </w:r>
      <w:r>
        <w:rPr>
          <w:rFonts w:hint="eastAsia" w:ascii="宋体" w:hAnsi="宋体" w:eastAsia="宋体" w:cs="宋体"/>
          <w:color w:val="auto"/>
          <w:sz w:val="24"/>
          <w:szCs w:val="24"/>
          <w:highlight w:val="none"/>
          <w:u w:val="single"/>
        </w:rPr>
        <w:t xml:space="preserve">  5%  </w:t>
      </w:r>
      <w:r>
        <w:rPr>
          <w:rFonts w:hint="eastAsia" w:ascii="宋体" w:hAnsi="宋体" w:eastAsia="宋体" w:cs="宋体"/>
          <w:color w:val="auto"/>
          <w:sz w:val="24"/>
          <w:szCs w:val="24"/>
          <w:highlight w:val="none"/>
        </w:rPr>
        <w:t xml:space="preserve">的违约金。</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乙方所提供服务的标准不符合合同规定及招标文件规定标准的，甲方有权拒绝接受服务，并可单方面解除合同。</w:t>
      </w:r>
      <w:r/>
    </w:p>
    <w:p>
      <w:pPr>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十二、不可抗力事件处理</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在合同有效期内，任何一方因不可抗力事件导致不能履行合同，则合同履行期可延长，其延长期与不可抗力影响期相同。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十三、解决争议的方法</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双方在签订、履行合同中所发生的一切争议，应通过友好协商解决。如协商不成的由甲方住所地人民法院管辖。</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十四、合同生效及其它</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本合同经双方加盖单位公章后生效。</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服务期限：自合同签订之日起 </w:t>
      </w:r>
      <w:r>
        <w:rPr>
          <w:rFonts w:hint="eastAsia" w:ascii="宋体" w:hAnsi="宋体" w:eastAsia="宋体" w:cs="宋体"/>
          <w:color w:val="auto"/>
          <w:sz w:val="24"/>
          <w:szCs w:val="24"/>
          <w:highlight w:val="none"/>
          <w:lang w:val="en-US" w:eastAsia="zh-CN"/>
        </w:rPr>
        <w:t xml:space="preserve">6个月</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本合同未尽事宜，遵照《中华人民共和国民法典》《中华人民共和国政府采购法》有关条文执行。</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本合同正本一式两份，具有同等法律效力，甲方、乙方各执一份。</w:t>
      </w:r>
      <w:r/>
    </w:p>
    <w:p>
      <w:pPr>
        <w:pStyle w:val="872"/>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2"/>
        <w:ind w:firstLine="24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甲方：（公章）                         乙方：（公章）</w:t>
      </w:r>
      <w:r/>
    </w:p>
    <w:p>
      <w:pPr>
        <w:pStyle w:val="872"/>
        <w:ind w:firstLine="24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w:t>
      </w:r>
      <w:r/>
    </w:p>
    <w:p>
      <w:pPr>
        <w:pStyle w:val="872"/>
        <w:ind w:firstLine="24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pStyle w:val="872"/>
        <w:ind w:firstLine="24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w:t>
      </w:r>
      <w:r/>
    </w:p>
    <w:p>
      <w:pPr>
        <w:pStyle w:val="872"/>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72"/>
        <w:ind w:firstLine="528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w:t>
      </w:r>
      <w:r/>
    </w:p>
    <w:p>
      <w:pPr>
        <w:pStyle w:val="872"/>
        <w:ind w:firstLine="4800"/>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widowControl w:val="off"/>
        <w:rPr>
          <w:rFonts w:hint="eastAsia" w:ascii="宋体" w:hAnsi="宋体" w:eastAsia="宋体" w:cs="宋体"/>
          <w:b/>
          <w:color w:val="auto"/>
          <w:sz w:val="30"/>
          <w:highlight w:val="none"/>
        </w:rPr>
        <w:outlineLvl w:val="0"/>
      </w:pPr>
      <w:r>
        <w:rPr>
          <w:rFonts w:hint="eastAsia" w:ascii="宋体" w:hAnsi="宋体" w:eastAsia="宋体" w:cs="宋体"/>
          <w:b/>
          <w:color w:val="auto"/>
          <w:sz w:val="30"/>
          <w:highlight w:val="none"/>
        </w:rPr>
      </w:r>
      <w:r/>
    </w:p>
    <w:p>
      <w:pPr>
        <w:jc w:val="center"/>
        <w:keepLines w:val="0"/>
        <w:keepNext w:val="0"/>
        <w:pageBreakBefore w:val="0"/>
        <w:spacing w:line="360" w:lineRule="auto"/>
        <w:widowControl w:val="off"/>
        <w:rPr>
          <w:rFonts w:hint="eastAsia" w:ascii="宋体" w:hAnsi="宋体" w:eastAsia="宋体" w:cs="宋体"/>
          <w:b/>
          <w:color w:val="auto"/>
          <w:sz w:val="30"/>
          <w:highlight w:val="none"/>
        </w:rPr>
        <w:outlineLvl w:val="0"/>
      </w:pPr>
      <w:r>
        <w:rPr>
          <w:rFonts w:hint="eastAsia" w:ascii="宋体" w:hAnsi="宋体" w:eastAsia="宋体" w:cs="宋体"/>
          <w:b/>
          <w:color w:val="auto"/>
          <w:sz w:val="30"/>
          <w:highlight w:val="none"/>
        </w:rPr>
        <w:t xml:space="preserve">《*******合同》补充协议（合同附件）</w:t>
      </w:r>
      <w:r/>
    </w:p>
    <w:p>
      <w:pPr>
        <w:pStyle w:val="872"/>
        <w:ind w:firstLine="840"/>
        <w:jc w:val="left"/>
        <w:keepLines w:val="0"/>
        <w:keepNext w:val="0"/>
        <w:pageBreakBefore w:val="0"/>
        <w:spacing w:before="120" w:after="12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如遇招标文件及合同未约定事项，双方可友好协商签订补充协议。</w:t>
      </w:r>
      <w:r/>
    </w:p>
    <w:p>
      <w:pPr>
        <w:rPr>
          <w:rFonts w:hint="eastAsia" w:ascii="宋体" w:hAnsi="宋体" w:cs="宋体"/>
          <w:color w:val="auto"/>
          <w:szCs w:val="20"/>
          <w:highlight w:val="none"/>
        </w:rPr>
      </w:pPr>
      <w:r>
        <w:rPr>
          <w:rFonts w:hint="eastAsia" w:ascii="宋体" w:hAnsi="宋体" w:cs="宋体"/>
          <w:color w:val="auto"/>
          <w:szCs w:val="20"/>
          <w:highlight w:val="none"/>
        </w:rPr>
      </w:r>
      <w:r/>
    </w:p>
    <w:p>
      <w:pPr>
        <w:jc w:val="center"/>
        <w:spacing w:before="120" w:after="120" w:line="0" w:lineRule="atLeast"/>
        <w:rPr>
          <w:rFonts w:hint="eastAsia" w:ascii="宋体" w:hAnsi="宋体" w:cs="Courier New"/>
          <w:color w:val="auto"/>
          <w:sz w:val="24"/>
          <w:szCs w:val="24"/>
          <w:highlight w:val="none"/>
        </w:rPr>
      </w:pPr>
      <w:r>
        <w:rPr>
          <w:rFonts w:ascii="黑体" w:hAnsi="Courier New" w:eastAsia="黑体" w:cs="Courier New"/>
          <w:bCs/>
          <w:color w:val="auto"/>
          <w:sz w:val="44"/>
          <w:szCs w:val="21"/>
          <w:highlight w:val="none"/>
        </w:rPr>
        <w:br w:type="page" w:clear="all"/>
      </w:r>
      <w:r>
        <w:rPr>
          <w:rFonts w:hint="eastAsia" w:ascii="黑体" w:hAnsi="Courier New" w:eastAsia="黑体" w:cs="Courier New"/>
          <w:bCs/>
          <w:color w:val="auto"/>
          <w:sz w:val="44"/>
          <w:szCs w:val="21"/>
          <w:highlight w:val="none"/>
        </w:rPr>
        <w:t xml:space="preserve">第</w:t>
      </w:r>
      <w:bookmarkEnd w:id="171"/>
      <w:r>
        <w:rPr>
          <w:rFonts w:hint="eastAsia" w:ascii="黑体" w:hAnsi="Courier New" w:eastAsia="黑体" w:cs="Courier New"/>
          <w:bCs/>
          <w:color w:val="auto"/>
          <w:sz w:val="44"/>
          <w:szCs w:val="21"/>
          <w:highlight w:val="none"/>
        </w:rPr>
        <w:t xml:space="preserve">四章 采购需求</w:t>
      </w:r>
      <w:bookmarkEnd w:id="172"/>
      <w:r/>
      <w:bookmarkEnd w:id="173"/>
      <w:r/>
      <w:bookmarkEnd w:id="174"/>
      <w:r/>
      <w:r/>
    </w:p>
    <w:p>
      <w:pPr>
        <w:spacing w:line="0" w:lineRule="atLeast"/>
        <w:rPr>
          <w:rFonts w:hint="eastAsia" w:ascii="宋体" w:hAnsi="宋体"/>
          <w:color w:val="auto"/>
          <w:sz w:val="24"/>
          <w:szCs w:val="24"/>
          <w:highlight w:val="none"/>
        </w:rPr>
      </w:pPr>
      <w:r/>
      <w:bookmarkStart w:id="177" w:name="_Toc26554093"/>
      <w:r/>
      <w:bookmarkStart w:id="178" w:name="_Toc49090575"/>
      <w:r>
        <w:rPr>
          <w:rFonts w:hint="eastAsia" w:ascii="宋体" w:hAnsi="宋体"/>
          <w:color w:val="auto"/>
          <w:sz w:val="24"/>
          <w:szCs w:val="24"/>
          <w:highlight w:val="none"/>
        </w:rPr>
        <w:t xml:space="preserve">项目属性:</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类项目。</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供应商不能简单照搬照抄招标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480"/>
        <w:spacing w:line="500" w:lineRule="exact"/>
        <w:rPr>
          <w:rFonts w:hint="eastAsia" w:ascii="宋体" w:hAnsi="宋体" w:cs="宋体"/>
          <w:bCs/>
          <w:color w:val="auto"/>
          <w:sz w:val="24"/>
          <w:szCs w:val="24"/>
          <w:highlight w:val="none"/>
        </w:rPr>
      </w:pPr>
      <w:r/>
      <w:bookmarkStart w:id="179" w:name="_Toc120614281"/>
      <w:r>
        <w:rPr>
          <w:rFonts w:hint="eastAsia" w:ascii="宋体" w:hAnsi="宋体" w:cs="宋体"/>
          <w:bCs/>
          <w:color w:val="auto"/>
          <w:sz w:val="24"/>
          <w:szCs w:val="24"/>
          <w:highlight w:val="none"/>
        </w:rPr>
        <w:t xml:space="preserve">一、项目基本信息​</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服务期限：自合同签订之日起 </w:t>
      </w:r>
      <w:r>
        <w:rPr>
          <w:rFonts w:hint="eastAsia" w:ascii="宋体" w:hAnsi="宋体" w:cs="宋体"/>
          <w:bCs/>
          <w:color w:val="auto"/>
          <w:sz w:val="24"/>
          <w:szCs w:val="24"/>
          <w:highlight w:val="none"/>
          <w:lang w:val="en-US" w:eastAsia="zh-CN"/>
        </w:rPr>
        <w:t xml:space="preserve">6个月</w:t>
      </w:r>
      <w:r>
        <w:rPr>
          <w:rFonts w:hint="eastAsia" w:ascii="宋体" w:hAnsi="宋体" w:cs="宋体"/>
          <w:bCs/>
          <w:color w:val="auto"/>
          <w:sz w:val="24"/>
          <w:szCs w:val="24"/>
          <w:highlight w:val="none"/>
        </w:rPr>
        <w:t xml:space="preserve">​</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1.2、项目背景：</w:t>
      </w:r>
      <w:r>
        <w:rPr>
          <w:rFonts w:hint="eastAsia" w:ascii="宋体" w:hAnsi="宋体" w:cs="宋体"/>
          <w:bCs/>
          <w:color w:val="auto"/>
          <w:sz w:val="24"/>
          <w:szCs w:val="24"/>
          <w:highlight w:val="none"/>
        </w:rPr>
        <w:t xml:space="preserve">为深入贯彻落实党中央、国务院决策部署，规范和引导人工智能大模型在政务领域的发展与应用，提升政务数字化智能化治理和服务水平</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要求</w:t>
      </w:r>
      <w:r>
        <w:rPr>
          <w:rFonts w:hint="eastAsia" w:ascii="宋体" w:hAnsi="宋体" w:cs="宋体"/>
          <w:bCs/>
          <w:color w:val="auto"/>
          <w:sz w:val="24"/>
          <w:szCs w:val="24"/>
          <w:highlight w:val="none"/>
        </w:rPr>
        <w:t xml:space="preserve">有序推进人工智能大模型技术、产品和服务在政务领域的部署、应用和持续优化，充分发挥人工智能大模型在复杂语义理解与推理、多模态内容生成、知识整合与分析等方面的优势，为工作人员提供高效辅助，为公众和企业提供便捷服务，推动政务创新发展，提升治理效能、优化服务管理、辅助科学决策。</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rPr>
        <w:t xml:space="preserve">项目目标：</w:t>
      </w:r>
      <w:r>
        <w:rPr>
          <w:rFonts w:hint="eastAsia" w:ascii="宋体" w:hAnsi="宋体" w:cs="宋体"/>
          <w:bCs/>
          <w:color w:val="auto"/>
          <w:sz w:val="24"/>
          <w:szCs w:val="24"/>
          <w:highlight w:val="none"/>
          <w:lang w:val="en-US" w:eastAsia="zh-CN"/>
        </w:rPr>
        <w:t xml:space="preserve">由区数据局牵头，南通高新数字科技发展有限公司作为代建单位提供算力支撑服务，结合通州区数据清查相关成果，根据《政务领域人工智能大模型部署应用指引》，</w:t>
      </w:r>
      <w:r>
        <w:rPr>
          <w:rFonts w:hint="eastAsia" w:ascii="宋体" w:hAnsi="宋体" w:cs="宋体"/>
          <w:bCs/>
          <w:color w:val="auto"/>
          <w:sz w:val="24"/>
          <w:szCs w:val="24"/>
          <w:highlight w:val="none"/>
          <w:lang w:eastAsia="zh-CN"/>
        </w:rPr>
        <w:t xml:space="preserve">围绕政务服务、社会治理、机关办公和辅助决策等工作中的共性、高频需求，因地制宜、结合实际，选择典型场景进行人工智能大模型探索应用，</w:t>
      </w:r>
      <w:r>
        <w:rPr>
          <w:rFonts w:hint="eastAsia" w:ascii="宋体" w:hAnsi="宋体" w:cs="宋体"/>
          <w:bCs/>
          <w:color w:val="auto"/>
          <w:sz w:val="24"/>
          <w:szCs w:val="24"/>
          <w:highlight w:val="none"/>
          <w:lang w:val="en-US" w:eastAsia="zh-CN"/>
        </w:rPr>
        <w:t xml:space="preserve">深入</w:t>
      </w:r>
      <w:r>
        <w:rPr>
          <w:rFonts w:hint="eastAsia" w:ascii="宋体" w:hAnsi="宋体" w:cs="宋体"/>
          <w:bCs/>
          <w:color w:val="auto"/>
          <w:sz w:val="24"/>
          <w:szCs w:val="24"/>
          <w:highlight w:val="none"/>
          <w:lang w:eastAsia="zh-CN"/>
        </w:rPr>
        <w:t xml:space="preserve">挖掘</w:t>
      </w:r>
      <w:r>
        <w:rPr>
          <w:rFonts w:hint="eastAsia" w:ascii="宋体" w:hAnsi="宋体" w:cs="宋体"/>
          <w:bCs/>
          <w:color w:val="auto"/>
          <w:sz w:val="24"/>
          <w:szCs w:val="24"/>
          <w:highlight w:val="none"/>
          <w:lang w:val="en-US" w:eastAsia="zh-CN"/>
        </w:rPr>
        <w:t xml:space="preserve">通州区各部委办局人工智能大模型场景</w:t>
      </w:r>
      <w:r>
        <w:rPr>
          <w:rFonts w:hint="eastAsia" w:ascii="宋体" w:hAnsi="宋体" w:cs="宋体"/>
          <w:bCs/>
          <w:color w:val="auto"/>
          <w:sz w:val="24"/>
          <w:szCs w:val="24"/>
          <w:highlight w:val="none"/>
          <w:lang w:eastAsia="zh-CN"/>
        </w:rPr>
        <w:t xml:space="preserve">应用需求，提升人员</w:t>
      </w:r>
      <w:r>
        <w:rPr>
          <w:rFonts w:hint="eastAsia" w:ascii="宋体" w:hAnsi="宋体" w:cs="宋体"/>
          <w:bCs/>
          <w:color w:val="auto"/>
          <w:sz w:val="24"/>
          <w:szCs w:val="24"/>
          <w:highlight w:val="none"/>
          <w:lang w:val="en-US" w:eastAsia="zh-CN"/>
        </w:rPr>
        <w:t xml:space="preserve">人工智能</w:t>
      </w:r>
      <w:r>
        <w:rPr>
          <w:rFonts w:hint="eastAsia" w:ascii="宋体" w:hAnsi="宋体" w:cs="宋体"/>
          <w:bCs/>
          <w:color w:val="auto"/>
          <w:sz w:val="24"/>
          <w:szCs w:val="24"/>
          <w:highlight w:val="none"/>
          <w:lang w:eastAsia="zh-CN"/>
        </w:rPr>
        <w:t xml:space="preserve">与数据价值认知，落地</w:t>
      </w:r>
      <w:r>
        <w:rPr>
          <w:rFonts w:hint="eastAsia" w:ascii="宋体" w:hAnsi="宋体" w:cs="宋体"/>
          <w:bCs/>
          <w:color w:val="auto"/>
          <w:sz w:val="24"/>
          <w:szCs w:val="24"/>
          <w:highlight w:val="none"/>
          <w:lang w:val="en-US" w:eastAsia="zh-CN"/>
        </w:rPr>
        <w:t xml:space="preserve">人工智能</w:t>
      </w:r>
      <w:r>
        <w:rPr>
          <w:rFonts w:hint="eastAsia" w:ascii="宋体" w:hAnsi="宋体" w:cs="宋体"/>
          <w:bCs/>
          <w:color w:val="auto"/>
          <w:sz w:val="24"/>
          <w:szCs w:val="24"/>
          <w:highlight w:val="none"/>
          <w:lang w:eastAsia="zh-CN"/>
        </w:rPr>
        <w:t xml:space="preserve">小场景，推动区域数字化转型。​</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二、招标需求​​</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2.1人工智能</w:t>
      </w:r>
      <w:r>
        <w:rPr>
          <w:rFonts w:hint="eastAsia" w:ascii="宋体" w:hAnsi="宋体" w:cs="宋体"/>
          <w:bCs/>
          <w:color w:val="auto"/>
          <w:sz w:val="24"/>
          <w:szCs w:val="24"/>
          <w:highlight w:val="none"/>
        </w:rPr>
        <w:t xml:space="preserve">认知与数据价值培训​</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分批次开展涵盖人工智能大模型理论、技术、应用、数据安全、等内容的培训课程，开展人工智能素养和技能培训，提升领导干部及对人工智能的认知水平，增强工作人员应用能力和水平。</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cs="宋体"/>
          <w:bCs/>
          <w:color w:val="auto"/>
          <w:sz w:val="24"/>
          <w:szCs w:val="24"/>
          <w:highlight w:val="none"/>
        </w:rPr>
        <w:t xml:space="preserve">数据源调研与</w:t>
      </w:r>
      <w:r>
        <w:rPr>
          <w:rFonts w:hint="eastAsia" w:ascii="宋体" w:hAnsi="宋体" w:cs="宋体"/>
          <w:bCs/>
          <w:color w:val="auto"/>
          <w:sz w:val="24"/>
          <w:szCs w:val="24"/>
          <w:highlight w:val="none"/>
          <w:lang w:val="en-US" w:eastAsia="zh-CN"/>
        </w:rPr>
        <w:t xml:space="preserve">人工智能应用</w:t>
      </w:r>
      <w:r>
        <w:rPr>
          <w:rFonts w:hint="eastAsia" w:ascii="宋体" w:hAnsi="宋体" w:cs="宋体"/>
          <w:bCs/>
          <w:color w:val="auto"/>
          <w:sz w:val="24"/>
          <w:szCs w:val="24"/>
          <w:highlight w:val="none"/>
        </w:rPr>
        <w:t xml:space="preserve">场景建议书编制​</w:t>
      </w:r>
      <w:r/>
    </w:p>
    <w:p>
      <w:pPr>
        <w:ind w:firstLine="480"/>
        <w:spacing w:line="50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lang w:val="en-US" w:eastAsia="zh-CN"/>
        </w:rPr>
        <w:t xml:space="preserve">结合前期全区数据清查普查成果，</w:t>
      </w:r>
      <w:r>
        <w:rPr>
          <w:rFonts w:hint="eastAsia" w:ascii="宋体" w:hAnsi="宋体" w:cs="宋体"/>
          <w:bCs/>
          <w:color w:val="auto"/>
          <w:sz w:val="24"/>
          <w:szCs w:val="24"/>
          <w:highlight w:val="none"/>
        </w:rPr>
        <w:t xml:space="preserve">制定调研方案，</w:t>
      </w:r>
      <w:r>
        <w:rPr>
          <w:rFonts w:hint="eastAsia" w:ascii="宋体" w:hAnsi="宋体" w:cs="宋体"/>
          <w:bCs/>
          <w:color w:val="auto"/>
          <w:sz w:val="24"/>
          <w:szCs w:val="24"/>
          <w:highlight w:val="none"/>
          <w:lang w:val="en-US" w:eastAsia="zh-CN"/>
        </w:rPr>
        <w:t xml:space="preserve">完善各部委办局</w:t>
      </w:r>
      <w:r>
        <w:rPr>
          <w:rFonts w:hint="eastAsia" w:ascii="宋体" w:hAnsi="宋体" w:cs="宋体"/>
          <w:bCs/>
          <w:color w:val="auto"/>
          <w:sz w:val="24"/>
          <w:szCs w:val="24"/>
          <w:highlight w:val="none"/>
        </w:rPr>
        <w:t xml:space="preserve">数据源调研（数据类型、规模、质量、应用现状等）</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挖掘各单位</w:t>
      </w:r>
      <w:r>
        <w:rPr>
          <w:rFonts w:hint="eastAsia" w:ascii="宋体" w:hAnsi="宋体" w:cs="宋体"/>
          <w:bCs/>
          <w:color w:val="auto"/>
          <w:sz w:val="24"/>
          <w:szCs w:val="24"/>
          <w:highlight w:val="none"/>
          <w:lang w:val="en-US" w:eastAsia="zh-CN"/>
        </w:rPr>
        <w:t xml:space="preserve">人工智能应用场景</w:t>
      </w:r>
      <w:r>
        <w:rPr>
          <w:rFonts w:hint="eastAsia" w:ascii="宋体" w:hAnsi="宋体" w:cs="宋体"/>
          <w:bCs/>
          <w:color w:val="auto"/>
          <w:sz w:val="24"/>
          <w:szCs w:val="24"/>
          <w:highlight w:val="none"/>
        </w:rPr>
        <w:t xml:space="preserve">需求，为需求不明确单位提供</w:t>
      </w:r>
      <w:r>
        <w:rPr>
          <w:rFonts w:hint="eastAsia" w:ascii="宋体" w:hAnsi="宋体" w:cs="宋体"/>
          <w:bCs/>
          <w:color w:val="auto"/>
          <w:sz w:val="24"/>
          <w:szCs w:val="24"/>
          <w:highlight w:val="none"/>
          <w:lang w:val="en-US" w:eastAsia="zh-CN"/>
        </w:rPr>
        <w:t xml:space="preserve">应用</w:t>
      </w:r>
      <w:r>
        <w:rPr>
          <w:rFonts w:hint="eastAsia" w:ascii="宋体" w:hAnsi="宋体" w:cs="宋体"/>
          <w:bCs/>
          <w:color w:val="auto"/>
          <w:sz w:val="24"/>
          <w:szCs w:val="24"/>
          <w:highlight w:val="none"/>
        </w:rPr>
        <w:t xml:space="preserve">场景建议</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以部门为单位，</w:t>
      </w:r>
      <w:r>
        <w:rPr>
          <w:rFonts w:hint="eastAsia" w:ascii="宋体" w:hAnsi="宋体" w:cs="宋体"/>
          <w:bCs/>
          <w:color w:val="auto"/>
          <w:sz w:val="24"/>
          <w:szCs w:val="24"/>
          <w:highlight w:val="none"/>
        </w:rPr>
        <w:t xml:space="preserve">编制《区</w:t>
      </w:r>
      <w:r>
        <w:rPr>
          <w:rFonts w:hint="eastAsia" w:ascii="宋体" w:hAnsi="宋体" w:cs="宋体"/>
          <w:bCs/>
          <w:color w:val="auto"/>
          <w:sz w:val="24"/>
          <w:szCs w:val="24"/>
          <w:highlight w:val="none"/>
          <w:lang w:val="en-US" w:eastAsia="zh-CN"/>
        </w:rPr>
        <w:t xml:space="preserve">部委办局-人工智能应用</w:t>
      </w:r>
      <w:r>
        <w:rPr>
          <w:rFonts w:hint="eastAsia" w:ascii="宋体" w:hAnsi="宋体" w:cs="宋体"/>
          <w:bCs/>
          <w:color w:val="auto"/>
          <w:sz w:val="24"/>
          <w:szCs w:val="24"/>
          <w:highlight w:val="none"/>
        </w:rPr>
        <w:t xml:space="preserve">场景建设建议书》</w:t>
      </w:r>
      <w:r>
        <w:rPr>
          <w:rFonts w:hint="eastAsia" w:ascii="宋体" w:hAnsi="宋体" w:cs="宋体"/>
          <w:bCs/>
          <w:color w:val="auto"/>
          <w:sz w:val="24"/>
          <w:szCs w:val="24"/>
          <w:highlight w:val="none"/>
          <w:lang w:eastAsia="zh-CN"/>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2.3人工智能</w:t>
      </w:r>
      <w:r>
        <w:rPr>
          <w:rFonts w:hint="eastAsia" w:ascii="宋体" w:hAnsi="宋体" w:cs="宋体"/>
          <w:bCs/>
          <w:color w:val="auto"/>
          <w:sz w:val="24"/>
          <w:szCs w:val="24"/>
          <w:highlight w:val="none"/>
        </w:rPr>
        <w:t xml:space="preserve">小场景</w:t>
      </w:r>
      <w:r>
        <w:rPr>
          <w:rFonts w:hint="eastAsia" w:ascii="宋体" w:hAnsi="宋体" w:cs="宋体"/>
          <w:bCs/>
          <w:color w:val="auto"/>
          <w:sz w:val="24"/>
          <w:szCs w:val="24"/>
          <w:highlight w:val="none"/>
          <w:lang w:val="en-US" w:eastAsia="zh-CN"/>
        </w:rPr>
        <w:t xml:space="preserve">探索</w:t>
      </w:r>
      <w:r>
        <w:rPr>
          <w:rFonts w:hint="eastAsia" w:ascii="宋体" w:hAnsi="宋体" w:cs="宋体"/>
          <w:bCs/>
          <w:color w:val="auto"/>
          <w:sz w:val="24"/>
          <w:szCs w:val="24"/>
          <w:highlight w:val="none"/>
        </w:rPr>
        <w:t xml:space="preserve">与</w:t>
      </w:r>
      <w:r>
        <w:rPr>
          <w:rFonts w:hint="eastAsia" w:ascii="宋体" w:hAnsi="宋体" w:cs="宋体"/>
          <w:bCs/>
          <w:color w:val="auto"/>
          <w:sz w:val="24"/>
          <w:szCs w:val="24"/>
          <w:highlight w:val="none"/>
          <w:lang w:val="en-US" w:eastAsia="zh-CN"/>
        </w:rPr>
        <w:t xml:space="preserve">实现</w:t>
      </w:r>
      <w:r>
        <w:rPr>
          <w:rFonts w:hint="eastAsia" w:ascii="宋体" w:hAnsi="宋体" w:cs="宋体"/>
          <w:bCs/>
          <w:color w:val="auto"/>
          <w:sz w:val="24"/>
          <w:szCs w:val="24"/>
          <w:highlight w:val="none"/>
        </w:rPr>
        <w:t xml:space="preserve">​</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场景筛选与需求明确</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协助</w:t>
      </w:r>
      <w:r>
        <w:rPr>
          <w:rFonts w:hint="eastAsia" w:ascii="宋体" w:hAnsi="宋体" w:cs="宋体"/>
          <w:bCs/>
          <w:color w:val="auto"/>
          <w:sz w:val="24"/>
          <w:szCs w:val="24"/>
          <w:highlight w:val="none"/>
          <w:lang w:val="en-US" w:eastAsia="zh-CN"/>
        </w:rPr>
        <w:t xml:space="preserve">招标人</w:t>
      </w:r>
      <w:r>
        <w:rPr>
          <w:rFonts w:hint="eastAsia" w:ascii="宋体" w:hAnsi="宋体" w:cs="宋体"/>
          <w:bCs/>
          <w:color w:val="auto"/>
          <w:sz w:val="24"/>
          <w:szCs w:val="24"/>
          <w:highlight w:val="none"/>
        </w:rPr>
        <w:t xml:space="preserve">从</w:t>
      </w:r>
      <w:r>
        <w:rPr>
          <w:rFonts w:hint="eastAsia" w:ascii="宋体" w:hAnsi="宋体" w:cs="宋体"/>
          <w:bCs/>
          <w:color w:val="auto"/>
          <w:sz w:val="24"/>
          <w:szCs w:val="24"/>
          <w:highlight w:val="none"/>
          <w:lang w:val="en-US" w:eastAsia="zh-CN"/>
        </w:rPr>
        <w:t xml:space="preserve">调研场景中</w:t>
      </w:r>
      <w:r>
        <w:rPr>
          <w:rFonts w:hint="eastAsia" w:ascii="宋体" w:hAnsi="宋体" w:cs="宋体"/>
          <w:bCs/>
          <w:color w:val="auto"/>
          <w:sz w:val="24"/>
          <w:szCs w:val="24"/>
          <w:highlight w:val="none"/>
        </w:rPr>
        <w:t xml:space="preserve">筛选出 2 个可行性高的人工智能小场景，明确每个场景的具体业务需求，同时确定可落地、可验证的业务验收标准。</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场景</w:t>
      </w:r>
      <w:r>
        <w:rPr>
          <w:rFonts w:hint="eastAsia" w:ascii="宋体" w:hAnsi="宋体" w:cs="宋体"/>
          <w:bCs/>
          <w:color w:val="auto"/>
          <w:sz w:val="24"/>
          <w:szCs w:val="24"/>
          <w:highlight w:val="none"/>
        </w:rPr>
        <w:t xml:space="preserve">技术方案支持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协</w:t>
      </w:r>
      <w:r>
        <w:rPr>
          <w:rFonts w:hint="eastAsia" w:ascii="宋体" w:hAnsi="宋体" w:cs="宋体"/>
          <w:bCs/>
          <w:color w:val="auto"/>
          <w:sz w:val="24"/>
          <w:szCs w:val="24"/>
          <w:highlight w:val="none"/>
        </w:rPr>
        <w:t xml:space="preserve">助本区数据公司设计匹配业务需求的技术方案并参与评审，利用其现有</w:t>
      </w:r>
      <w:r>
        <w:rPr>
          <w:rFonts w:hint="eastAsia" w:ascii="宋体" w:hAnsi="宋体" w:cs="宋体"/>
          <w:bCs/>
          <w:color w:val="auto"/>
          <w:sz w:val="24"/>
          <w:szCs w:val="24"/>
          <w:highlight w:val="none"/>
          <w:lang w:val="en-US" w:eastAsia="zh-CN"/>
        </w:rPr>
        <w:t xml:space="preserve">算力</w:t>
      </w:r>
      <w:r>
        <w:rPr>
          <w:rFonts w:hint="eastAsia" w:ascii="宋体" w:hAnsi="宋体" w:cs="宋体"/>
          <w:bCs/>
          <w:color w:val="auto"/>
          <w:sz w:val="24"/>
          <w:szCs w:val="24"/>
          <w:highlight w:val="none"/>
        </w:rPr>
        <w:t xml:space="preserve">资源完成场景的开发与测试，确保最终成果能满足业务</w:t>
      </w:r>
      <w:r>
        <w:rPr>
          <w:rFonts w:hint="eastAsia" w:ascii="宋体" w:hAnsi="宋体" w:cs="宋体"/>
          <w:bCs/>
          <w:color w:val="auto"/>
          <w:sz w:val="24"/>
          <w:szCs w:val="24"/>
          <w:highlight w:val="none"/>
          <w:lang w:val="en-US" w:eastAsia="zh-CN"/>
        </w:rPr>
        <w:t xml:space="preserve">场景</w:t>
      </w:r>
      <w:r>
        <w:rPr>
          <w:rFonts w:hint="eastAsia" w:ascii="宋体" w:hAnsi="宋体" w:cs="宋体"/>
          <w:bCs/>
          <w:color w:val="auto"/>
          <w:sz w:val="24"/>
          <w:szCs w:val="24"/>
          <w:highlight w:val="none"/>
        </w:rPr>
        <w:t xml:space="preserve">使用。</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系统交付与后续支持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协助区数据公司完成场景系统、相关资料（测试报告、使用手册等）的交付，配合完成业务验收工作，保障系统能正常投入业务使用。</w:t>
      </w:r>
      <w:r/>
    </w:p>
    <w:p>
      <w:pPr>
        <w:ind w:firstLine="480"/>
        <w:spacing w:line="500" w:lineRule="exact"/>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2.4人员配置要求</w:t>
      </w:r>
      <w:r/>
    </w:p>
    <w:p>
      <w:pPr>
        <w:ind w:firstLine="480"/>
        <w:spacing w:line="50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组建专项团队：项目负责人1名、技术负责人1名、调研人员≥3名、培训讲师≥2名、</w:t>
      </w:r>
      <w:r>
        <w:rPr>
          <w:rFonts w:hint="eastAsia" w:ascii="宋体" w:hAnsi="宋体" w:cs="宋体"/>
          <w:bCs/>
          <w:color w:val="auto"/>
          <w:sz w:val="24"/>
          <w:szCs w:val="24"/>
          <w:highlight w:val="none"/>
          <w:lang w:val="en-US" w:eastAsia="zh-CN"/>
        </w:rPr>
        <w:t xml:space="preserve">开</w:t>
      </w:r>
      <w:r>
        <w:rPr>
          <w:rFonts w:hint="eastAsia" w:ascii="宋体" w:hAnsi="宋体" w:cs="宋体"/>
          <w:bCs/>
          <w:color w:val="auto"/>
          <w:sz w:val="24"/>
          <w:szCs w:val="24"/>
          <w:highlight w:val="none"/>
        </w:rPr>
        <w:t xml:space="preserve">发人员≥4名</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核心负责人（项目</w:t>
      </w:r>
      <w:r>
        <w:rPr>
          <w:rFonts w:hint="eastAsia" w:ascii="宋体" w:hAnsi="宋体" w:cs="宋体"/>
          <w:bCs/>
          <w:color w:val="auto"/>
          <w:sz w:val="24"/>
          <w:szCs w:val="24"/>
          <w:highlight w:val="none"/>
          <w:lang w:val="en-US" w:eastAsia="zh-CN"/>
        </w:rPr>
        <w:t xml:space="preserve">负责人</w:t>
      </w:r>
      <w:r>
        <w:rPr>
          <w:rFonts w:hint="eastAsia" w:ascii="宋体" w:hAnsi="宋体" w:cs="宋体"/>
          <w:bCs/>
          <w:color w:val="auto"/>
          <w:sz w:val="24"/>
          <w:szCs w:val="24"/>
          <w:highlight w:val="none"/>
        </w:rPr>
        <w:t xml:space="preserve">/技术</w:t>
      </w:r>
      <w:r>
        <w:rPr>
          <w:rFonts w:hint="eastAsia" w:ascii="宋体" w:hAnsi="宋体" w:cs="宋体"/>
          <w:bCs/>
          <w:color w:val="auto"/>
          <w:sz w:val="24"/>
          <w:szCs w:val="24"/>
          <w:highlight w:val="none"/>
          <w:lang w:val="en-US" w:eastAsia="zh-CN"/>
        </w:rPr>
        <w:t xml:space="preserve">负责人</w:t>
      </w:r>
      <w:r>
        <w:rPr>
          <w:rFonts w:hint="eastAsia" w:ascii="宋体" w:hAnsi="宋体" w:cs="宋体"/>
          <w:bCs/>
          <w:color w:val="auto"/>
          <w:sz w:val="24"/>
          <w:szCs w:val="24"/>
          <w:highlight w:val="none"/>
        </w:rPr>
        <w:t xml:space="preserve">）需具备5年及以上相关经验（项目管理</w:t>
      </w:r>
      <w:r>
        <w:rPr>
          <w:rFonts w:hint="eastAsia" w:ascii="宋体" w:hAnsi="宋体" w:cs="宋体"/>
          <w:bCs/>
          <w:color w:val="auto"/>
          <w:sz w:val="24"/>
          <w:szCs w:val="24"/>
          <w:highlight w:val="none"/>
          <w:lang w:val="en-US" w:eastAsia="zh-CN"/>
        </w:rPr>
        <w:t xml:space="preserve">及人工智能</w:t>
      </w:r>
      <w:r>
        <w:rPr>
          <w:rFonts w:hint="eastAsia" w:ascii="宋体" w:hAnsi="宋体" w:cs="宋体"/>
          <w:bCs/>
          <w:color w:val="auto"/>
          <w:sz w:val="24"/>
          <w:szCs w:val="24"/>
          <w:highlight w:val="none"/>
        </w:rPr>
        <w:t xml:space="preserve">研发）</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核心成员未经招标人同意不得更换，更换需提供同等级或更优资质人员。</w:t>
      </w:r>
      <w:r/>
    </w:p>
    <w:p>
      <w:pPr>
        <w:numPr>
          <w:ilvl w:val="0"/>
          <w:numId w:val="0"/>
        </w:numPr>
        <w:ind w:left="480"/>
        <w:jc w:val="left"/>
        <w:keepNext/>
        <w:rPr>
          <w:rFonts w:hint="eastAsia" w:ascii="仿宋" w:hAnsi="仿宋" w:eastAsia="仿宋" w:cs="Times New Roman"/>
          <w:color w:val="auto"/>
          <w:sz w:val="28"/>
          <w:szCs w:val="28"/>
          <w:highlight w:val="none"/>
          <w:lang w:val="en-US" w:eastAsia="zh-CN"/>
        </w:rPr>
        <w:outlineLvl w:val="0"/>
      </w:pPr>
      <w:r>
        <w:rPr>
          <w:rFonts w:hint="eastAsia" w:ascii="仿宋" w:hAnsi="仿宋" w:eastAsia="仿宋" w:cs="Times New Roman"/>
          <w:color w:val="auto"/>
          <w:sz w:val="28"/>
          <w:szCs w:val="28"/>
          <w:highlight w:val="none"/>
          <w:lang w:val="en-US" w:eastAsia="zh-CN"/>
        </w:rPr>
        <w:t xml:space="preserve">三、商务部分要求</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商务要求是指取得采购标的的时间、地点、财务和服务要求，包括交付（实施）的时间（期限）和地点（范围），付款条件（进度和方法），包装和运输，售后服务，保险等。</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1.服务期限：自合同签订之日起 6个月</w:t>
      </w:r>
      <w:r>
        <w:rPr>
          <w:rFonts w:hint="eastAsia" w:ascii="宋体" w:hAnsi="宋体" w:eastAsia="宋体" w:cs="宋体"/>
          <w:bCs/>
          <w:color w:val="auto"/>
          <w:sz w:val="24"/>
          <w:szCs w:val="24"/>
          <w:highlight w:val="none"/>
        </w:rPr>
        <w:t xml:space="preserve">。</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地点：采购人指定地点。</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支付</w:t>
      </w:r>
      <w:r>
        <w:rPr>
          <w:rFonts w:hint="eastAsia" w:ascii="宋体" w:hAnsi="宋体" w:cs="宋体"/>
          <w:bCs/>
          <w:color w:val="auto"/>
          <w:sz w:val="24"/>
          <w:szCs w:val="24"/>
          <w:highlight w:val="none"/>
          <w:lang w:val="en-US" w:eastAsia="zh-CN"/>
        </w:rPr>
        <w:t xml:space="preserve">方式</w:t>
      </w:r>
      <w:r>
        <w:rPr>
          <w:rFonts w:hint="eastAsia" w:ascii="宋体" w:hAnsi="宋体" w:eastAsia="宋体" w:cs="宋体"/>
          <w:bCs/>
          <w:color w:val="auto"/>
          <w:sz w:val="24"/>
          <w:szCs w:val="24"/>
          <w:highlight w:val="none"/>
        </w:rPr>
        <w:t xml:space="preserve">：合同签订后15日内，</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支付合同总价款的70%</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合同服务期满15日内，</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支付合同总价款的30%。</w:t>
      </w:r>
      <w:r/>
    </w:p>
    <w:p>
      <w:pPr>
        <w:ind w:firstLine="48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.备品备件及耗材等要求：满足本项目设备的安装、调试、集成、质保、运维等需求。</w:t>
      </w:r>
      <w:r/>
    </w:p>
    <w:p>
      <w:pPr>
        <w:ind w:firstLine="555"/>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.项目验收：</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rPr>
        <w:t xml:space="preserve">1</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依法组织履约验收工作。</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rPr>
        <w:t xml:space="preserve">2</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在组织履约验收前，将根据项目特点制定验收方案，明确验收的时间、方式、程序等内容，并可根据项目特点对服务期内的服务实施情况进行分期考核，综合考核情况和服务效果进行验收。</w:t>
      </w:r>
      <w:r>
        <w:rPr>
          <w:rFonts w:hint="eastAsia" w:ascii="宋体" w:hAnsi="宋体" w:cs="Times New Roman"/>
          <w:bCs/>
          <w:color w:val="auto"/>
          <w:sz w:val="24"/>
          <w:szCs w:val="24"/>
          <w:highlight w:val="none"/>
          <w:lang w:val="en-US" w:eastAsia="zh-CN"/>
        </w:rPr>
        <w:t xml:space="preserve">投标人</w:t>
      </w:r>
      <w:r>
        <w:rPr>
          <w:rFonts w:hint="eastAsia" w:ascii="宋体" w:hAnsi="宋体" w:cs="Times New Roman"/>
          <w:bCs/>
          <w:color w:val="auto"/>
          <w:sz w:val="24"/>
          <w:szCs w:val="24"/>
          <w:highlight w:val="none"/>
        </w:rPr>
        <w:t xml:space="preserve">应根据验收方案做好相应配合工作。</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rPr>
        <w:t xml:space="preserve">3</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对于实际使用人和</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分离的项目，</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邀请实际使用人参与验收。</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w:t>
      </w:r>
      <w:r>
        <w:rPr>
          <w:rFonts w:hint="eastAsia" w:ascii="宋体" w:hAnsi="宋体" w:cs="Times New Roman"/>
          <w:bCs/>
          <w:color w:val="auto"/>
          <w:sz w:val="24"/>
          <w:szCs w:val="24"/>
          <w:highlight w:val="none"/>
        </w:rPr>
        <w:t xml:space="preserve">4</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如有必要，</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可邀请参加本项目投标的其他供应商或第三方专业机构及专家参与验收，相关意见将作为验收结论的参考。</w:t>
      </w:r>
      <w:r/>
    </w:p>
    <w:p>
      <w:pPr>
        <w:ind w:firstLine="555"/>
        <w:pageBreakBefore w:val="0"/>
        <w:spacing w:line="360" w:lineRule="auto"/>
        <w:widowControl w:val="off"/>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 xml:space="preserve">（5</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成立验收小组，按照采购合同约定对</w:t>
      </w:r>
      <w:r>
        <w:rPr>
          <w:rFonts w:hint="eastAsia" w:ascii="宋体" w:hAnsi="宋体" w:cs="Times New Roman"/>
          <w:bCs/>
          <w:color w:val="auto"/>
          <w:sz w:val="24"/>
          <w:szCs w:val="24"/>
          <w:highlight w:val="none"/>
          <w:lang w:val="en-US" w:eastAsia="zh-CN"/>
        </w:rPr>
        <w:t xml:space="preserve">投标人</w:t>
      </w:r>
      <w:r>
        <w:rPr>
          <w:rFonts w:hint="eastAsia" w:ascii="宋体" w:hAnsi="宋体" w:cs="Times New Roman"/>
          <w:bCs/>
          <w:color w:val="auto"/>
          <w:sz w:val="24"/>
          <w:szCs w:val="24"/>
          <w:highlight w:val="none"/>
        </w:rPr>
        <w:t xml:space="preserve">的履约情况进行验收。验收时间、验收标准见招标文件。验收时</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按照采购合同的约定对每一项服务的履约情况进行确认。验收结束后，验收小组出具验收书，列明各项服务的验收情况及项目总体评价，由验收双方共同签署。验收结果与采购合同约定的资金支付挂钩。履约验收的各项资料存档备查。</w:t>
      </w:r>
      <w:r/>
    </w:p>
    <w:p>
      <w:pPr>
        <w:ind w:firstLine="480"/>
        <w:spacing w:line="500" w:lineRule="exact"/>
        <w:rPr>
          <w:rFonts w:hint="eastAsia" w:ascii="宋体" w:hAnsi="宋体" w:eastAsia="宋体" w:cs="宋体"/>
          <w:bCs/>
          <w:color w:val="auto"/>
          <w:sz w:val="24"/>
          <w:szCs w:val="24"/>
          <w:highlight w:val="none"/>
        </w:rPr>
      </w:pPr>
      <w:r>
        <w:rPr>
          <w:rFonts w:hint="eastAsia" w:ascii="宋体" w:hAnsi="宋体" w:cs="Times New Roman"/>
          <w:bCs/>
          <w:color w:val="auto"/>
          <w:sz w:val="24"/>
          <w:szCs w:val="24"/>
          <w:highlight w:val="none"/>
          <w:lang w:val="en-US" w:eastAsia="zh-CN"/>
        </w:rPr>
        <w:t xml:space="preserve">（6</w:t>
      </w:r>
      <w:r>
        <w:rPr>
          <w:rFonts w:hint="eastAsia" w:ascii="宋体" w:hAnsi="宋体" w:cs="Times New Roman"/>
          <w:bCs/>
          <w:color w:val="auto"/>
          <w:sz w:val="24"/>
          <w:szCs w:val="24"/>
          <w:highlight w:val="none"/>
          <w:lang w:eastAsia="zh-CN"/>
        </w:rPr>
        <w:t xml:space="preserve">）</w:t>
      </w:r>
      <w:r>
        <w:rPr>
          <w:rFonts w:hint="eastAsia" w:ascii="宋体" w:hAnsi="宋体" w:cs="Times New Roman"/>
          <w:bCs/>
          <w:color w:val="auto"/>
          <w:sz w:val="24"/>
          <w:szCs w:val="24"/>
          <w:highlight w:val="none"/>
        </w:rPr>
        <w:t xml:space="preserve">验收合格的项目，</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根据采购合同的约定及时向</w:t>
      </w:r>
      <w:r>
        <w:rPr>
          <w:rFonts w:hint="eastAsia" w:ascii="宋体" w:hAnsi="宋体" w:cs="Times New Roman"/>
          <w:bCs/>
          <w:color w:val="auto"/>
          <w:sz w:val="24"/>
          <w:szCs w:val="24"/>
          <w:highlight w:val="none"/>
          <w:lang w:val="en-US" w:eastAsia="zh-CN"/>
        </w:rPr>
        <w:t xml:space="preserve">投标人</w:t>
      </w:r>
      <w:r>
        <w:rPr>
          <w:rFonts w:hint="eastAsia" w:ascii="宋体" w:hAnsi="宋体" w:cs="Times New Roman"/>
          <w:bCs/>
          <w:color w:val="auto"/>
          <w:sz w:val="24"/>
          <w:szCs w:val="24"/>
          <w:highlight w:val="none"/>
        </w:rPr>
        <w:t xml:space="preserve">支付合同款项。验收不合格的项目，</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依法及时处理。采购合同的履行、违约责任和解决争议的方式等适用《中华人民共和国民法典》。</w:t>
      </w:r>
      <w:r>
        <w:rPr>
          <w:rFonts w:hint="eastAsia" w:ascii="宋体" w:hAnsi="宋体" w:cs="Times New Roman"/>
          <w:bCs/>
          <w:color w:val="auto"/>
          <w:sz w:val="24"/>
          <w:szCs w:val="24"/>
          <w:highlight w:val="none"/>
          <w:lang w:val="en-US" w:eastAsia="zh-CN"/>
        </w:rPr>
        <w:t xml:space="preserve">投标人</w:t>
      </w:r>
      <w:r>
        <w:rPr>
          <w:rFonts w:hint="eastAsia" w:ascii="宋体" w:hAnsi="宋体" w:cs="Times New Roman"/>
          <w:bCs/>
          <w:color w:val="auto"/>
          <w:sz w:val="24"/>
          <w:szCs w:val="24"/>
          <w:highlight w:val="none"/>
        </w:rPr>
        <w:t xml:space="preserve">在履约过程中有政府采购法律法规规定的违法违规情形的，</w:t>
      </w:r>
      <w:r>
        <w:rPr>
          <w:rFonts w:hint="eastAsia" w:ascii="宋体" w:hAnsi="宋体" w:cs="Times New Roman"/>
          <w:bCs/>
          <w:color w:val="auto"/>
          <w:sz w:val="24"/>
          <w:szCs w:val="24"/>
          <w:highlight w:val="none"/>
          <w:lang w:val="en-US" w:eastAsia="zh-CN"/>
        </w:rPr>
        <w:t xml:space="preserve">采购人</w:t>
      </w:r>
      <w:r>
        <w:rPr>
          <w:rFonts w:hint="eastAsia" w:ascii="宋体" w:hAnsi="宋体" w:cs="Times New Roman"/>
          <w:bCs/>
          <w:color w:val="auto"/>
          <w:sz w:val="24"/>
          <w:szCs w:val="24"/>
          <w:highlight w:val="none"/>
        </w:rPr>
        <w:t xml:space="preserve">将及时报告本级财政部门。</w:t>
      </w:r>
      <w:r/>
    </w:p>
    <w:p>
      <w:pPr>
        <w:ind w:firstLine="480"/>
        <w:spacing w:line="500" w:lineRule="exact"/>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.履约保证金要求：</w:t>
      </w:r>
      <w:r>
        <w:rPr>
          <w:rFonts w:hint="eastAsia" w:ascii="宋体" w:hAnsi="宋体" w:cs="宋体"/>
          <w:bCs/>
          <w:color w:val="auto"/>
          <w:sz w:val="24"/>
          <w:szCs w:val="24"/>
          <w:highlight w:val="none"/>
          <w:lang w:val="en-US" w:eastAsia="zh-CN"/>
        </w:rPr>
        <w:t xml:space="preserve">无。</w:t>
      </w:r>
      <w:r/>
    </w:p>
    <w:p>
      <w:pPr>
        <w:numPr>
          <w:ilvl w:val="0"/>
          <w:numId w:val="0"/>
        </w:numPr>
        <w:ind w:left="480"/>
        <w:jc w:val="left"/>
        <w:keepNext/>
        <w:rPr>
          <w:rFonts w:ascii="仿宋" w:hAnsi="仿宋" w:eastAsia="仿宋" w:cs="Times New Roman"/>
          <w:color w:val="auto"/>
          <w:sz w:val="28"/>
          <w:szCs w:val="28"/>
          <w:highlight w:val="none"/>
          <w:lang w:val="en-US" w:eastAsia="zh-CN"/>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rPr>
          <w:rFonts w:ascii="仿宋" w:hAnsi="仿宋" w:eastAsia="仿宋" w:cs="Times New Roman"/>
          <w:color w:val="auto"/>
          <w:sz w:val="28"/>
          <w:szCs w:val="28"/>
          <w:highlight w:val="none"/>
          <w:lang w:val="en-US" w:eastAsia="zh-CN"/>
        </w:rPr>
      </w:r>
      <w:r/>
    </w:p>
    <w:p>
      <w:pPr>
        <w:numPr>
          <w:ilvl w:val="0"/>
          <w:numId w:val="0"/>
        </w:numPr>
        <w:ind w:left="480"/>
        <w:jc w:val="center"/>
        <w:keepNext/>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t xml:space="preserve">第五章  </w:t>
      </w:r>
      <w:r>
        <w:rPr>
          <w:rFonts w:hint="eastAsia" w:ascii="黑体" w:eastAsia="黑体"/>
          <w:b/>
          <w:bCs/>
          <w:color w:val="auto"/>
          <w:sz w:val="44"/>
          <w:szCs w:val="28"/>
          <w:highlight w:val="none"/>
        </w:rPr>
        <w:t xml:space="preserve">评标方法与评标标准</w:t>
      </w:r>
      <w:r/>
    </w:p>
    <w:p>
      <w:pPr>
        <w:rPr>
          <w:rFonts w:hint="eastAsia"/>
          <w:color w:val="auto"/>
          <w:szCs w:val="21"/>
          <w:highlight w:val="none"/>
        </w:rPr>
      </w:pPr>
      <w:r>
        <w:rPr>
          <w:rFonts w:hint="eastAsia"/>
          <w:color w:val="auto"/>
          <w:szCs w:val="21"/>
          <w:highlight w:val="none"/>
        </w:rPr>
      </w:r>
      <w:r/>
    </w:p>
    <w:p>
      <w:pPr>
        <w:pStyle w:val="1125"/>
        <w:ind w:firstLine="439"/>
        <w:rPr>
          <w:rFonts w:hint="eastAsia" w:cs="Arial"/>
          <w:color w:val="auto"/>
          <w:highlight w:val="none"/>
        </w:rPr>
      </w:pPr>
      <w:r>
        <w:rPr>
          <w:rFonts w:cs="Arial"/>
          <w:color w:val="auto"/>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color w:val="auto"/>
          <w:highlight w:val="none"/>
        </w:rPr>
        <w:t xml:space="preserve">。本项目选取1名中标候选人。</w:t>
      </w:r>
      <w:r/>
    </w:p>
    <w:tbl>
      <w:tblPr>
        <w:tblStyle w:val="863"/>
        <w:tblW w:w="9076" w:type="dxa"/>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9"/>
        <w:gridCol w:w="2004"/>
        <w:gridCol w:w="5643"/>
      </w:tblGrid>
      <w:tr>
        <w:trPr>
          <w:trHeight w:val="634"/>
        </w:trPr>
        <w:tc>
          <w:tcPr>
            <w:tcW w:w="1429"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采购包号</w:t>
            </w:r>
            <w:r/>
          </w:p>
        </w:tc>
        <w:tc>
          <w:tcPr>
            <w:tcW w:w="2004"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选取中标候选人数量</w:t>
            </w:r>
            <w:r/>
          </w:p>
        </w:tc>
        <w:tc>
          <w:tcPr>
            <w:tcW w:w="5643"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选取中标候选人的原则</w:t>
            </w:r>
            <w:r/>
          </w:p>
        </w:tc>
      </w:tr>
      <w:tr>
        <w:trPr>
          <w:trHeight w:val="649"/>
        </w:trPr>
        <w:tc>
          <w:tcPr>
            <w:tcW w:w="1429" w:type="dxa"/>
            <w:vAlign w:val="center"/>
            <w:textDirection w:val="lrTb"/>
            <w:noWrap w:val="false"/>
          </w:tcPr>
          <w:p>
            <w:pPr>
              <w:jc w:val="center"/>
              <w:spacing w:line="0" w:lineRule="atLeas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p>
        </w:tc>
        <w:tc>
          <w:tcPr>
            <w:tcW w:w="2004"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5643" w:type="dxa"/>
            <w:vAlign w:val="center"/>
            <w:textDirection w:val="lrTb"/>
            <w:noWrap w:val="false"/>
          </w:tcPr>
          <w:p>
            <w:pPr>
              <w:jc w:val="cente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满足招标文件全部实质性要求，且按照评审因素的量化指标评审得分最高的投标人为中标候选人。</w:t>
            </w:r>
            <w:r/>
          </w:p>
        </w:tc>
      </w:tr>
    </w:tbl>
    <w:p>
      <w:pPr>
        <w:ind w:firstLine="562"/>
        <w:jc w:val="left"/>
        <w:keepLines/>
        <w:keepNext/>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rPr>
        <w:t xml:space="preserve">一、开标</w:t>
      </w:r>
      <w:r/>
    </w:p>
    <w:p>
      <w:pPr>
        <w:ind w:firstLine="56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不见面远程招标模式：开标当天各投标人在各自地点通过苏采云系统及时登录不见面开标大厅，参加开标会。</w:t>
      </w:r>
      <w:r/>
    </w:p>
    <w:p>
      <w:pPr>
        <w:ind w:firstLine="482"/>
        <w:jc w:val="left"/>
        <w:spacing w:line="460" w:lineRule="exact"/>
        <w:rPr>
          <w:rFonts w:hint="eastAsia" w:ascii="宋体" w:hAnsi="宋体" w:cs="楷体"/>
          <w:b/>
          <w:color w:val="auto"/>
          <w:sz w:val="24"/>
          <w:szCs w:val="24"/>
          <w:highlight w:val="none"/>
        </w:rPr>
      </w:pPr>
      <w:r>
        <w:rPr>
          <w:rFonts w:hint="eastAsia" w:ascii="宋体" w:hAnsi="宋体" w:cs="宋体"/>
          <w:b/>
          <w:color w:val="auto"/>
          <w:sz w:val="24"/>
          <w:szCs w:val="24"/>
          <w:highlight w:val="none"/>
        </w:rPr>
        <w:t xml:space="preserve">二、</w:t>
      </w:r>
      <w:r>
        <w:rPr>
          <w:rFonts w:hint="eastAsia" w:ascii="宋体" w:hAnsi="宋体" w:cs="楷体"/>
          <w:b/>
          <w:color w:val="auto"/>
          <w:sz w:val="24"/>
          <w:szCs w:val="24"/>
          <w:highlight w:val="none"/>
        </w:rPr>
        <w:t xml:space="preserve">评标流程和评标标准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采用综合评分法。分资格审查、商务技术标、价格标、三部分评审，总分值为100分，加分和减分因素除外。</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首先由评标委员会对投标人资格进行审查，然后评标委员会对符合资格的投标人的投标文件进行符合性审查，最后评标委员会对符合性审查合格的投标文件商务、技术部分进行评估，综合比较与评价。待商务技术标评审结束后，进行价格标的开启、评审。投标人商务、技术部分和价格部分的合计分值，为该投标人的评标总得分。</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标结果按评审后得分由高到低顺序排列。得分相同的，按投标报价由低到高顺序排列。得分且投标报价相同的由采购人代表现场抽签确定。投标文件满足招标文件全部实质性要求，且按照评审因素的量化指标评审得分</w:t>
      </w:r>
      <w:r>
        <w:rPr>
          <w:rFonts w:hint="eastAsia" w:ascii="宋体" w:hAnsi="宋体"/>
          <w:color w:val="auto"/>
          <w:sz w:val="24"/>
          <w:szCs w:val="24"/>
          <w:highlight w:val="none"/>
          <w:lang w:val="en-US" w:eastAsia="zh-CN"/>
        </w:rPr>
        <w:t xml:space="preserve">第一</w:t>
      </w:r>
      <w:r>
        <w:rPr>
          <w:rFonts w:hint="eastAsia" w:ascii="宋体" w:hAnsi="宋体"/>
          <w:color w:val="auto"/>
          <w:sz w:val="24"/>
          <w:szCs w:val="24"/>
          <w:highlight w:val="none"/>
        </w:rPr>
        <w:t xml:space="preserve">名的投标人为中标候选人。</w:t>
      </w:r>
      <w:r/>
    </w:p>
    <w:p>
      <w:pPr>
        <w:ind w:firstLine="480"/>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评委在认真审阅投标文件的基础上，根据各投标文件的响应程度独立评判，不得统一打分。</w:t>
      </w:r>
      <w:r/>
    </w:p>
    <w:p>
      <w:pPr>
        <w:ind w:firstLine="482"/>
        <w:spacing w:line="460" w:lineRule="exact"/>
        <w:rPr>
          <w:rFonts w:hint="eastAsia" w:ascii="宋体" w:hAnsi="宋体" w:cs="楷体"/>
          <w:b/>
          <w:color w:val="auto"/>
          <w:sz w:val="24"/>
          <w:szCs w:val="24"/>
          <w:highlight w:val="none"/>
        </w:rPr>
      </w:pPr>
      <w:r>
        <w:rPr>
          <w:rFonts w:hint="eastAsia" w:ascii="宋体" w:hAnsi="宋体" w:cs="楷体"/>
          <w:b/>
          <w:color w:val="auto"/>
          <w:sz w:val="24"/>
          <w:szCs w:val="24"/>
          <w:highlight w:val="none"/>
        </w:rPr>
        <w:t xml:space="preserve">（一）采购人（代表）会对投标人资格进行审查。</w:t>
      </w:r>
      <w:r/>
    </w:p>
    <w:p>
      <w:pPr>
        <w:ind w:firstLine="480"/>
        <w:spacing w:line="460" w:lineRule="exact"/>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投标人资格不合格的，其投标文件判定为无效投标文件。</w:t>
      </w:r>
      <w:r/>
    </w:p>
    <w:p>
      <w:pPr>
        <w:ind w:firstLine="482"/>
        <w:spacing w:line="460" w:lineRule="exact"/>
        <w:rPr>
          <w:rFonts w:hint="eastAsia" w:ascii="宋体" w:hAnsi="宋体" w:cs="楷体"/>
          <w:b/>
          <w:color w:val="auto"/>
          <w:sz w:val="24"/>
          <w:szCs w:val="24"/>
          <w:highlight w:val="none"/>
        </w:rPr>
        <w:sectPr>
          <w:headerReference w:type="default" r:id="rId9"/>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cs="楷体"/>
          <w:b/>
          <w:color w:val="auto"/>
          <w:sz w:val="24"/>
          <w:szCs w:val="24"/>
          <w:highlight w:val="none"/>
        </w:rPr>
      </w:r>
      <w:r/>
    </w:p>
    <w:p>
      <w:pPr>
        <w:ind w:firstLine="482"/>
        <w:spacing w:line="460" w:lineRule="exact"/>
        <w:rPr>
          <w:rFonts w:hint="eastAsia" w:ascii="宋体" w:hAnsi="宋体" w:cs="楷体"/>
          <w:b/>
          <w:color w:val="auto"/>
          <w:sz w:val="24"/>
          <w:szCs w:val="24"/>
          <w:highlight w:val="none"/>
        </w:rPr>
      </w:pPr>
      <w:r>
        <w:rPr>
          <w:rFonts w:hint="eastAsia" w:ascii="宋体" w:hAnsi="宋体" w:cs="楷体"/>
          <w:b/>
          <w:color w:val="auto"/>
          <w:sz w:val="24"/>
          <w:szCs w:val="24"/>
          <w:highlight w:val="none"/>
        </w:rPr>
        <w:t xml:space="preserve">（二）评标委员会对符合资格投标人的投标文件进行符合性审查。</w:t>
      </w:r>
      <w:r/>
    </w:p>
    <w:p>
      <w:pPr>
        <w:ind w:firstLine="480"/>
        <w:spacing w:line="460" w:lineRule="exact"/>
        <w:rPr>
          <w:rFonts w:hint="eastAsia" w:ascii="宋体" w:hAnsi="宋体" w:cs="楷体"/>
          <w:color w:val="auto"/>
          <w:sz w:val="24"/>
          <w:szCs w:val="24"/>
          <w:highlight w:val="none"/>
        </w:rPr>
      </w:pPr>
      <w:r>
        <w:rPr>
          <w:rFonts w:hint="eastAsia" w:ascii="宋体" w:hAnsi="宋体" w:cs="楷体"/>
          <w:color w:val="auto"/>
          <w:sz w:val="24"/>
          <w:szCs w:val="24"/>
          <w:highlight w:val="none"/>
        </w:rPr>
        <w:t xml:space="preserve">未通过符合性审查的投标文件，将被判为不满足招标文件实质性要求。</w:t>
      </w:r>
      <w:r/>
    </w:p>
    <w:p>
      <w:pPr>
        <w:ind w:firstLine="482"/>
        <w:spacing w:line="460" w:lineRule="exact"/>
        <w:rPr>
          <w:rFonts w:hint="eastAsia" w:ascii="宋体" w:hAnsi="宋体" w:cs="楷体"/>
          <w:b/>
          <w:color w:val="auto"/>
          <w:sz w:val="24"/>
          <w:szCs w:val="24"/>
          <w:highlight w:val="none"/>
        </w:rPr>
      </w:pPr>
      <w:r>
        <w:rPr>
          <w:rFonts w:hint="eastAsia" w:ascii="宋体" w:hAnsi="宋体" w:cs="楷体"/>
          <w:b/>
          <w:color w:val="auto"/>
          <w:sz w:val="24"/>
          <w:szCs w:val="24"/>
          <w:highlight w:val="none"/>
        </w:rPr>
        <w:t xml:space="preserve">（三）评标程序及评标标准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资格性审查必要合格条件标准如下：</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1.投标人符合《政府采购法》第二十二条规定条件的声明函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2.法人或者其他组织的营业执照等证明文件</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3.法人授权书</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4.提供2024年度由会计师事务所（或者审计机构）出具的财务报告或投标截止时间前三个月（不含投标截止时间当月）任意一个月的银行资信证明；（成立不满一年无需提供）</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w:t>
      </w:r>
      <w:r>
        <w:rPr>
          <w:rFonts w:hint="eastAsia" w:ascii="宋体" w:hAnsi="宋体" w:cs="宋体"/>
          <w:color w:val="auto"/>
          <w:sz w:val="24"/>
          <w:szCs w:val="24"/>
          <w:highlight w:val="none"/>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6.具备履行合同所必需的设备和专业技术能力的书面声明</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7.参加政府采购活动前 3 年内在经营活动中没有重大违法记录的书面声明</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cs="宋体"/>
          <w:color w:val="auto"/>
          <w:sz w:val="24"/>
          <w:szCs w:val="21"/>
          <w:highlight w:val="none"/>
        </w:rPr>
        <w:t xml:space="preserve">投标人依据招标文件要求，提交的其他材料。</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供应商资格不合格的，其响应文件判定为无效投标文件。</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商务技术标及价格标评审标准（100分）</w:t>
      </w:r>
      <w:r/>
    </w:p>
    <w:p>
      <w:pPr>
        <w:ind w:firstLine="480"/>
        <w:spacing w:line="360" w:lineRule="auto"/>
        <w:widowControl/>
        <w:tabs>
          <w:tab w:val="left" w:pos="0" w:leader="none"/>
          <w:tab w:val="left" w:pos="993" w:leader="none"/>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本项目总分值为100分，其中商务技术部分</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0分，价格部分</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0分；投标得分=商务技术部分得分+价格部分得分。</w:t>
      </w:r>
      <w:bookmarkStart w:id="180" w:name="_Toc474229428"/>
      <w:r/>
      <w:bookmarkEnd w:id="180"/>
      <w:r/>
      <w:bookmarkStart w:id="181" w:name="_Toc12009"/>
      <w:r/>
      <w:bookmarkEnd w:id="181"/>
      <w:r/>
      <w:bookmarkStart w:id="182" w:name="_Toc184635088"/>
      <w:r/>
      <w:bookmarkEnd w:id="182"/>
      <w:r/>
      <w:r/>
    </w:p>
    <w:p>
      <w:pPr>
        <w:ind w:firstLine="480"/>
        <w:spacing w:line="360" w:lineRule="auto"/>
        <w:widowControl/>
        <w:tabs>
          <w:tab w:val="left" w:pos="0" w:leader="none"/>
          <w:tab w:val="left" w:pos="993" w:leader="none"/>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1.商务技术标部分（</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0分）</w:t>
      </w:r>
      <w:r/>
    </w:p>
    <w:p>
      <w:pPr>
        <w:ind w:firstLine="480"/>
        <w:spacing w:line="360" w:lineRule="auto"/>
        <w:widowControl/>
        <w:tabs>
          <w:tab w:val="left" w:pos="0" w:leader="none"/>
          <w:tab w:val="left" w:pos="993" w:leader="none"/>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商务技术标评审时，评标委员会分别对每个有效供应商的标书进行评价、打分。商务技术分按算术平均值计算。分值四舍五入，保留小数点后两位。</w:t>
      </w:r>
      <w:r/>
    </w:p>
    <w:tbl>
      <w:tblPr>
        <w:tblStyle w:val="863"/>
        <w:tblW w:w="50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1535"/>
        <w:gridCol w:w="851"/>
        <w:gridCol w:w="6066"/>
      </w:tblGrid>
      <w:tr>
        <w:trPr>
          <w:jc w:val="center"/>
        </w:trPr>
        <w:tc>
          <w:tcPr>
            <w:tcW w:w="478" w:type="pct"/>
            <w:vAlign w:val="center"/>
            <w:textDirection w:val="lrTb"/>
            <w:noWrap w:val="false"/>
          </w:tcPr>
          <w:p>
            <w:pPr>
              <w:ind w:left="0" w:firstLine="0"/>
              <w:jc w:val="both"/>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序号</w:t>
            </w:r>
            <w:r/>
          </w:p>
        </w:tc>
        <w:tc>
          <w:tcPr>
            <w:tcW w:w="821" w:type="pct"/>
            <w:vAlign w:val="center"/>
            <w:textDirection w:val="lrTb"/>
            <w:noWrap w:val="false"/>
          </w:tcPr>
          <w:p>
            <w:pPr>
              <w:ind w:left="0" w:firstLine="0"/>
              <w:jc w:val="both"/>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评分点名称</w:t>
            </w:r>
            <w:r/>
          </w:p>
        </w:tc>
        <w:tc>
          <w:tcPr>
            <w:tcW w:w="455" w:type="pct"/>
            <w:vAlign w:val="center"/>
            <w:textDirection w:val="lrTb"/>
            <w:noWrap w:val="false"/>
          </w:tcPr>
          <w:p>
            <w:pPr>
              <w:ind w:left="0" w:firstLine="0"/>
              <w:jc w:val="both"/>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分值</w:t>
            </w:r>
            <w:r/>
          </w:p>
        </w:tc>
        <w:tc>
          <w:tcPr>
            <w:tcW w:w="3244" w:type="pct"/>
            <w:vAlign w:val="center"/>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评审标准</w:t>
            </w:r>
            <w:r/>
          </w:p>
        </w:tc>
      </w:tr>
      <w:tr>
        <w:trPr>
          <w:jc w:val="center"/>
        </w:trPr>
        <w:tc>
          <w:tcPr>
            <w:tcW w:w="478" w:type="pct"/>
            <w:vAlign w:val="center"/>
            <w:textDirection w:val="lrTb"/>
            <w:noWrap w:val="false"/>
          </w:tcPr>
          <w:p>
            <w:pPr>
              <w:ind w:left="0" w:firstLine="0"/>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w:t>
            </w:r>
            <w:r/>
          </w:p>
        </w:tc>
        <w:tc>
          <w:tcPr>
            <w:tcW w:w="821" w:type="pct"/>
            <w:vAlign w:val="center"/>
            <w:textDirection w:val="lrTb"/>
            <w:noWrap w:val="false"/>
          </w:tcPr>
          <w:p>
            <w:pPr>
              <w:pStyle w:val="1166"/>
              <w:ind w:left="0" w:firstLine="0"/>
              <w:jc w:val="center"/>
              <w:spacing w:before="78" w:line="22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企业资质</w:t>
            </w:r>
            <w:r/>
          </w:p>
        </w:tc>
        <w:tc>
          <w:tcPr>
            <w:tcW w:w="455" w:type="pct"/>
            <w:vAlign w:val="center"/>
            <w:textDirection w:val="lrTb"/>
            <w:noWrap w:val="false"/>
          </w:tcPr>
          <w:p>
            <w:pPr>
              <w:ind w:left="0" w:firstLine="0"/>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14</w:t>
            </w:r>
            <w:r/>
          </w:p>
        </w:tc>
        <w:tc>
          <w:tcPr>
            <w:tcW w:w="3244" w:type="pct"/>
            <w:vAlign w:val="top"/>
            <w:textDirection w:val="lrTb"/>
            <w:noWrap w:val="false"/>
          </w:tcPr>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（1）投标人具有ISO9001质量管理体系认证证书得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（2）投标人具有ISO20000信息技术服务管理体系认证证书得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（3）投标人具有ISO27001信息安全管理体系认证证书得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pStyle w:val="1162"/>
              <w:ind w:left="0" w:firstLine="0"/>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（4）投标人具有ITSS信息技术服务标准证书得2分；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）GB/T 27922-2011售后服务认证证书</w:t>
            </w:r>
            <w:r>
              <w:rPr>
                <w:rFonts w:hint="eastAsia" w:ascii="宋体" w:hAnsi="宋体" w:eastAsia="宋体" w:cs="宋体"/>
                <w:color w:val="auto"/>
                <w:sz w:val="24"/>
                <w:szCs w:val="24"/>
                <w:highlight w:val="none"/>
                <w:lang w:val="en-US" w:eastAsia="zh-CN"/>
              </w:rPr>
              <w:t xml:space="preserve">得2分</w:t>
            </w:r>
            <w:r>
              <w:rPr>
                <w:rFonts w:hint="eastAsia" w:ascii="宋体" w:hAnsi="宋体" w:eastAsia="宋体" w:cs="宋体"/>
                <w:color w:val="auto"/>
                <w:sz w:val="24"/>
                <w:szCs w:val="24"/>
                <w:highlight w:val="none"/>
                <w:lang w:val="zh-CN"/>
              </w:rPr>
              <w:t xml:space="preserve">；</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）投标人具有数据安全能力成熟度认证证书得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）投标人具有数据管理能力成熟度证书得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以上证书需提供有效期内的证书扫描件加盖投标者公章，未提供者不得分。</w:t>
            </w:r>
            <w:r/>
          </w:p>
        </w:tc>
      </w:tr>
      <w:tr>
        <w:trPr>
          <w:jc w:val="center"/>
        </w:trPr>
        <w:tc>
          <w:tcPr>
            <w:tcW w:w="478"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2</w:t>
            </w:r>
            <w:r/>
          </w:p>
        </w:tc>
        <w:tc>
          <w:tcPr>
            <w:tcW w:w="821"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拟派人员资质</w:t>
            </w:r>
            <w:r/>
          </w:p>
        </w:tc>
        <w:tc>
          <w:tcPr>
            <w:tcW w:w="455" w:type="pct"/>
            <w:vAlign w:val="center"/>
            <w:textDirection w:val="lrTb"/>
            <w:noWrap w:val="false"/>
          </w:tcPr>
          <w:p>
            <w:pPr>
              <w:ind w:left="0" w:firstLine="0"/>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8</w:t>
            </w:r>
            <w:r/>
          </w:p>
        </w:tc>
        <w:tc>
          <w:tcPr>
            <w:tcW w:w="3244" w:type="pct"/>
            <w:vAlign w:val="top"/>
            <w:textDirection w:val="lrTb"/>
            <w:noWrap w:val="false"/>
          </w:tcPr>
          <w:p>
            <w:pPr>
              <w:ind w:left="0" w:firstLine="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项目经理（1人）：</w:t>
            </w:r>
            <w:r/>
          </w:p>
          <w:p>
            <w:pPr>
              <w:ind w:left="0" w:firstLine="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（1）具有信息系统项目管理师（高级）得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（2）具有 PMP 项目经理证书得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（3）具有CISO注册信息安全管理人员证书得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（4）具有 ITSS 认证的 IT 服务项目经理证书得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（注：投标时提供人员的证书扫描件及投标人为其缴纳的投标截止时间前一个月的养老保险缴费证明并加盖投标人公章。）</w:t>
            </w:r>
            <w:r/>
          </w:p>
        </w:tc>
      </w:tr>
      <w:tr>
        <w:trPr>
          <w:jc w:val="center"/>
        </w:trPr>
        <w:tc>
          <w:tcPr>
            <w:tcW w:w="478"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821"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455" w:type="pct"/>
            <w:vAlign w:val="center"/>
            <w:textDirection w:val="lrTb"/>
            <w:noWrap w:val="false"/>
          </w:tcPr>
          <w:p>
            <w:pPr>
              <w:ind w:left="0" w:firstLine="0"/>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w:t>
            </w:r>
            <w:r/>
          </w:p>
        </w:tc>
        <w:tc>
          <w:tcPr>
            <w:tcW w:w="3244" w:type="pct"/>
            <w:vAlign w:val="top"/>
            <w:textDirection w:val="lrTb"/>
            <w:noWrap w:val="false"/>
          </w:tcPr>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技术负责人</w:t>
            </w:r>
            <w:r>
              <w:rPr>
                <w:rFonts w:hint="eastAsia" w:ascii="宋体" w:hAnsi="宋体" w:eastAsia="宋体" w:cs="宋体"/>
                <w:color w:val="auto"/>
                <w:sz w:val="24"/>
                <w:szCs w:val="24"/>
                <w:highlight w:val="none"/>
                <w:lang w:val="zh-CN"/>
              </w:rPr>
              <w:t xml:space="preserve">（项目经理除外）：</w:t>
            </w:r>
            <w:r/>
          </w:p>
          <w:p>
            <w:pPr>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auto"/>
                <w:sz w:val="24"/>
                <w:szCs w:val="24"/>
                <w:highlight w:val="none"/>
                <w:lang w:val="en-US" w:eastAsia="zh-CN"/>
              </w:rPr>
              <w:t xml:space="preserve">具有人工智能标注工程师证书得2分；</w:t>
            </w:r>
            <w:r/>
          </w:p>
          <w:p>
            <w:pPr>
              <w:pStyle w:val="1103"/>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zh-CN"/>
              </w:rPr>
              <w:t xml:space="preserve">具有 ITSS 认证的 IT 服务</w:t>
            </w:r>
            <w:r>
              <w:rPr>
                <w:rFonts w:hint="eastAsia" w:ascii="宋体" w:hAnsi="宋体" w:eastAsia="宋体" w:cs="宋体"/>
                <w:color w:val="auto"/>
                <w:sz w:val="24"/>
                <w:szCs w:val="24"/>
                <w:highlight w:val="none"/>
                <w:lang w:val="en-US" w:eastAsia="zh-CN"/>
              </w:rPr>
              <w:t xml:space="preserve">工程师</w:t>
            </w:r>
            <w:r>
              <w:rPr>
                <w:rFonts w:hint="eastAsia" w:ascii="宋体" w:hAnsi="宋体" w:eastAsia="宋体" w:cs="宋体"/>
                <w:color w:val="auto"/>
                <w:sz w:val="24"/>
                <w:szCs w:val="24"/>
                <w:highlight w:val="none"/>
                <w:lang w:val="zh-CN"/>
              </w:rPr>
              <w:t xml:space="preserve">证书得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（注：投标时提供人员的证书扫描件及投标人为其缴纳的投标截止时间前一个月的养老保险缴费证明并加盖投标人公章。同1人具有多种不同证书的不可兼得。）</w:t>
            </w:r>
            <w:r/>
          </w:p>
        </w:tc>
      </w:tr>
      <w:tr>
        <w:trPr>
          <w:jc w:val="center"/>
        </w:trPr>
        <w:tc>
          <w:tcPr>
            <w:tcW w:w="478"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821"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455" w:type="pct"/>
            <w:vAlign w:val="center"/>
            <w:textDirection w:val="lrTb"/>
            <w:noWrap w:val="false"/>
          </w:tcPr>
          <w:p>
            <w:pPr>
              <w:ind w:left="0" w:firstLine="0"/>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16</w:t>
            </w:r>
            <w:r/>
          </w:p>
        </w:tc>
        <w:tc>
          <w:tcPr>
            <w:tcW w:w="3244" w:type="pct"/>
            <w:vAlign w:val="top"/>
            <w:textDirection w:val="lrTb"/>
            <w:noWrap w:val="false"/>
          </w:tcPr>
          <w:p>
            <w:pPr>
              <w:ind w:left="0" w:firstLine="0"/>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lang w:val="en-US" w:eastAsia="zh-CN"/>
              </w:rPr>
              <w:t xml:space="preserve">其他团队人员（项目经理和技术负责人除外）</w:t>
            </w:r>
            <w:r/>
          </w:p>
          <w:p>
            <w:pPr>
              <w:pStyle w:val="1103"/>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（1）具有人工智能应用工程师证书得2分；</w:t>
            </w:r>
            <w:r/>
          </w:p>
          <w:p>
            <w:pPr>
              <w:pStyle w:val="1103"/>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（2）具有人工智能算法工程师证书得2分；</w:t>
            </w:r>
            <w:r/>
          </w:p>
          <w:p>
            <w:pPr>
              <w:pStyle w:val="1103"/>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（3）具有信息系统审计师证书得2分；</w:t>
            </w:r>
            <w:r/>
          </w:p>
          <w:p>
            <w:pPr>
              <w:pStyle w:val="1103"/>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（4）具有系统分析师（高级）证书得2分；</w:t>
            </w:r>
            <w:r/>
          </w:p>
          <w:p>
            <w:pPr>
              <w:pStyle w:val="1103"/>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（5）具有大数据分析师（高级）证书，有一个得2分，最多得4分；</w:t>
            </w:r>
            <w:r/>
          </w:p>
          <w:p>
            <w:pPr>
              <w:pStyle w:val="1103"/>
              <w:ind w:lef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（6）具有GB/T27922-2011售后服务工程师证书，有一个得2分，最多得4分；</w:t>
            </w:r>
            <w:r/>
          </w:p>
          <w:p>
            <w:pPr>
              <w:pStyle w:val="1103"/>
              <w:ind w:left="0" w:firstLine="0"/>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（注：</w:t>
            </w:r>
            <w:r>
              <w:rPr>
                <w:rFonts w:hint="eastAsia" w:ascii="宋体" w:hAnsi="宋体" w:eastAsia="宋体" w:cs="宋体"/>
                <w:b/>
                <w:bCs/>
                <w:color w:val="auto"/>
                <w:sz w:val="24"/>
                <w:szCs w:val="24"/>
                <w:highlight w:val="none"/>
                <w:lang w:val="en-US" w:eastAsia="zh-CN"/>
              </w:rPr>
              <w:t xml:space="preserve">单人拥有多个证书不重复得分，</w:t>
            </w:r>
            <w:r>
              <w:rPr>
                <w:rFonts w:hint="eastAsia" w:ascii="宋体" w:hAnsi="宋体" w:eastAsia="宋体" w:cs="宋体"/>
                <w:b/>
                <w:bCs/>
                <w:color w:val="auto"/>
                <w:sz w:val="24"/>
                <w:szCs w:val="24"/>
                <w:highlight w:val="none"/>
                <w:lang w:val="zh-CN"/>
              </w:rPr>
              <w:t xml:space="preserve">投标时提供人员的证书扫描件及投标人为其缴纳的投标截止时间前一个月的养老保险缴费证明并加盖投标人公章。同1人具有多种不同证书的不可兼得。）</w:t>
            </w:r>
            <w:r/>
          </w:p>
        </w:tc>
      </w:tr>
      <w:tr>
        <w:trPr>
          <w:jc w:val="center"/>
          <w:trHeight w:val="2315"/>
        </w:trPr>
        <w:tc>
          <w:tcPr>
            <w:tcW w:w="478"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w:t>
            </w:r>
            <w:r/>
          </w:p>
        </w:tc>
        <w:tc>
          <w:tcPr>
            <w:tcW w:w="821" w:type="pct"/>
            <w:vAlign w:val="center"/>
            <w:vMerge w:val="restart"/>
            <w:textDirection w:val="lrTb"/>
            <w:noWrap w:val="false"/>
          </w:tcPr>
          <w:p>
            <w:pPr>
              <w:ind w:left="0" w:firstLine="0"/>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服务方案</w:t>
            </w:r>
            <w:r/>
          </w:p>
        </w:tc>
        <w:tc>
          <w:tcPr>
            <w:tcW w:w="455" w:type="pct"/>
            <w:vAlign w:val="center"/>
            <w:textDirection w:val="lrTb"/>
            <w:noWrap w:val="false"/>
          </w:tcPr>
          <w:p>
            <w:pPr>
              <w:ind w:left="0" w:firstLine="0"/>
              <w:jc w:val="cente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8</w:t>
            </w:r>
            <w:r/>
          </w:p>
        </w:tc>
        <w:tc>
          <w:tcPr>
            <w:tcW w:w="3244" w:type="pct"/>
            <w:vAlign w:val="top"/>
            <w:textDirection w:val="lrTb"/>
            <w:noWrap w:val="false"/>
          </w:tcPr>
          <w:p>
            <w:pPr>
              <w:ind w:left="0" w:firstLine="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（1）现状分析</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zh-CN"/>
              </w:rPr>
              <w:t xml:space="preserve">通州区数据清查相关成果，对通州区人工智能大模型需求分析合理、准确：</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①现状描述完整，需求分析详细合理，得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②现状描述较为完整，需求分析较为合理得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③现状描述一般得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④</w:t>
            </w:r>
            <w:r>
              <w:rPr>
                <w:rFonts w:hint="eastAsia" w:ascii="宋体" w:hAnsi="宋体" w:eastAsia="宋体" w:cs="宋体"/>
                <w:color w:val="auto"/>
                <w:sz w:val="24"/>
                <w:szCs w:val="24"/>
                <w:highlight w:val="none"/>
                <w:lang w:val="en-US" w:eastAsia="zh-CN"/>
              </w:rPr>
              <w:t xml:space="preserve">未提供或描述缺失的</w:t>
            </w:r>
            <w:r>
              <w:rPr>
                <w:rFonts w:hint="eastAsia" w:ascii="宋体" w:hAnsi="宋体" w:eastAsia="宋体" w:cs="宋体"/>
                <w:color w:val="auto"/>
                <w:sz w:val="24"/>
                <w:szCs w:val="24"/>
                <w:highlight w:val="none"/>
                <w:lang w:val="zh-CN"/>
              </w:rPr>
              <w:t xml:space="preserve">，得</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zh-CN"/>
              </w:rPr>
              <w:t xml:space="preserve">分。</w:t>
            </w:r>
            <w:r/>
          </w:p>
        </w:tc>
      </w:tr>
      <w:tr>
        <w:trPr>
          <w:jc w:val="center"/>
        </w:trPr>
        <w:tc>
          <w:tcPr>
            <w:tcW w:w="478"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821"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455" w:type="pct"/>
            <w:vAlign w:val="center"/>
            <w:textDirection w:val="lrTb"/>
            <w:noWrap w:val="false"/>
          </w:tcPr>
          <w:p>
            <w:pPr>
              <w:ind w:left="0" w:firstLine="0"/>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w:t>
            </w:r>
            <w:r/>
          </w:p>
        </w:tc>
        <w:tc>
          <w:tcPr>
            <w:tcW w:w="3244" w:type="pct"/>
            <w:vAlign w:val="top"/>
            <w:textDirection w:val="lrTb"/>
            <w:noWrap w:val="false"/>
          </w:tcPr>
          <w:p>
            <w:pPr>
              <w:ind w:left="0" w:firstLine="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（2）人工智能认知与数据价值培训</w:t>
            </w:r>
            <w:r>
              <w:rPr>
                <w:rFonts w:hint="eastAsia" w:ascii="宋体" w:hAnsi="宋体" w:eastAsia="宋体" w:cs="宋体"/>
                <w:b/>
                <w:bCs/>
                <w:color w:val="auto"/>
                <w:sz w:val="24"/>
                <w:szCs w:val="24"/>
                <w:highlight w:val="none"/>
                <w:lang w:val="en-US" w:eastAsia="zh-CN"/>
              </w:rPr>
              <w:t xml:space="preserve">方案</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根据项目需求，提供人工智能认知与数据价值培训方案方案，方案包括：</w:t>
            </w:r>
            <w:r>
              <w:rPr>
                <w:rFonts w:hint="eastAsia" w:ascii="宋体" w:hAnsi="宋体" w:eastAsia="宋体" w:cs="宋体"/>
                <w:color w:val="auto"/>
                <w:sz w:val="24"/>
                <w:szCs w:val="24"/>
                <w:highlight w:val="none"/>
                <w:lang w:val="en-US" w:eastAsia="zh-CN"/>
              </w:rPr>
              <w:t xml:space="preserve">培训计划</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培训内容</w:t>
            </w:r>
            <w:r>
              <w:rPr>
                <w:rFonts w:hint="eastAsia" w:ascii="宋体" w:hAnsi="宋体" w:eastAsia="宋体" w:cs="宋体"/>
                <w:color w:val="auto"/>
                <w:sz w:val="24"/>
                <w:szCs w:val="24"/>
                <w:highlight w:val="none"/>
                <w:lang w:val="zh-CN"/>
              </w:rPr>
              <w:t xml:space="preserve">等；</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①方案描述完整，需求分析详细合理，并提供详细切实可行的</w:t>
            </w:r>
            <w:r>
              <w:rPr>
                <w:rFonts w:hint="eastAsia" w:ascii="宋体" w:hAnsi="宋体" w:eastAsia="宋体" w:cs="宋体"/>
                <w:color w:val="auto"/>
                <w:sz w:val="24"/>
                <w:szCs w:val="24"/>
                <w:highlight w:val="none"/>
                <w:lang w:val="en-US" w:eastAsia="zh-CN"/>
              </w:rPr>
              <w:t xml:space="preserve">培训</w:t>
            </w:r>
            <w:r>
              <w:rPr>
                <w:rFonts w:hint="eastAsia" w:ascii="宋体" w:hAnsi="宋体" w:eastAsia="宋体" w:cs="宋体"/>
                <w:color w:val="auto"/>
                <w:sz w:val="24"/>
                <w:szCs w:val="24"/>
                <w:highlight w:val="none"/>
                <w:lang w:val="zh-CN"/>
              </w:rPr>
              <w:t xml:space="preserve">方案得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②方案描述较为完整，需求分析较为合理，方案可行得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③方案描述一般或方案可行性存疑得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④</w:t>
            </w:r>
            <w:r>
              <w:rPr>
                <w:rFonts w:hint="eastAsia" w:ascii="宋体" w:hAnsi="宋体" w:eastAsia="宋体" w:cs="宋体"/>
                <w:color w:val="auto"/>
                <w:sz w:val="24"/>
                <w:szCs w:val="24"/>
                <w:highlight w:val="none"/>
                <w:lang w:val="en-US" w:eastAsia="zh-CN"/>
              </w:rPr>
              <w:t xml:space="preserve">未提供或描述缺失的</w:t>
            </w:r>
            <w:r>
              <w:rPr>
                <w:rFonts w:hint="eastAsia" w:ascii="宋体" w:hAnsi="宋体" w:eastAsia="宋体" w:cs="宋体"/>
                <w:color w:val="auto"/>
                <w:sz w:val="24"/>
                <w:szCs w:val="24"/>
                <w:highlight w:val="none"/>
                <w:lang w:val="zh-CN"/>
              </w:rPr>
              <w:t xml:space="preserve">0分。</w:t>
            </w:r>
            <w:r/>
          </w:p>
        </w:tc>
      </w:tr>
      <w:tr>
        <w:trPr>
          <w:jc w:val="center"/>
        </w:trPr>
        <w:tc>
          <w:tcPr>
            <w:tcW w:w="478"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821"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455" w:type="pct"/>
            <w:vAlign w:val="center"/>
            <w:textDirection w:val="lrTb"/>
            <w:noWrap w:val="false"/>
          </w:tcPr>
          <w:p>
            <w:pPr>
              <w:ind w:left="0" w:firstLine="0"/>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w:t>
            </w:r>
            <w:r/>
          </w:p>
        </w:tc>
        <w:tc>
          <w:tcPr>
            <w:tcW w:w="3244" w:type="pct"/>
            <w:vAlign w:val="top"/>
            <w:textDirection w:val="lrTb"/>
            <w:noWrap w:val="false"/>
          </w:tcPr>
          <w:p>
            <w:pPr>
              <w:ind w:left="0" w:firstLine="0"/>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zh-CN"/>
              </w:rPr>
              <w:t xml:space="preserve">）数据源调研与人工智能应用场景建议书编制方案</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根据项目需求，提供数据源调研与人工智能应用场景建议书编制方案；</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①方案描述完整，需求分析详细合理，能提供详细切实可行的建设方案得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②方案描述较为完整，需求分析较为合理，提供方案可行得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③方案描述一般或方案可行性存疑得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④</w:t>
            </w:r>
            <w:r>
              <w:rPr>
                <w:rFonts w:hint="eastAsia" w:ascii="宋体" w:hAnsi="宋体" w:eastAsia="宋体" w:cs="宋体"/>
                <w:color w:val="auto"/>
                <w:sz w:val="24"/>
                <w:szCs w:val="24"/>
                <w:highlight w:val="none"/>
                <w:lang w:val="en-US" w:eastAsia="zh-CN"/>
              </w:rPr>
              <w:t xml:space="preserve">未提供或描述缺失的</w:t>
            </w:r>
            <w:r>
              <w:rPr>
                <w:rFonts w:hint="eastAsia" w:ascii="宋体" w:hAnsi="宋体" w:eastAsia="宋体" w:cs="宋体"/>
                <w:color w:val="auto"/>
                <w:sz w:val="24"/>
                <w:szCs w:val="24"/>
                <w:highlight w:val="none"/>
                <w:lang w:val="zh-CN"/>
              </w:rPr>
              <w:t xml:space="preserve">0分。</w:t>
            </w:r>
            <w:r/>
          </w:p>
        </w:tc>
      </w:tr>
      <w:tr>
        <w:trPr>
          <w:jc w:val="center"/>
        </w:trPr>
        <w:tc>
          <w:tcPr>
            <w:tcW w:w="478"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821" w:type="pct"/>
            <w:vAlign w:val="center"/>
            <w:vMerge w:val="continue"/>
            <w:textDirection w:val="lrTb"/>
            <w:noWrap w:val="false"/>
          </w:tcPr>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tc>
        <w:tc>
          <w:tcPr>
            <w:tcW w:w="455" w:type="pct"/>
            <w:vAlign w:val="center"/>
            <w:textDirection w:val="lrTb"/>
            <w:noWrap w:val="false"/>
          </w:tcPr>
          <w:p>
            <w:pPr>
              <w:ind w:left="0" w:firstLine="0"/>
              <w:jc w:val="cente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10</w:t>
            </w:r>
            <w:r/>
          </w:p>
        </w:tc>
        <w:tc>
          <w:tcPr>
            <w:tcW w:w="3244" w:type="pct"/>
            <w:vAlign w:val="top"/>
            <w:textDirection w:val="lrTb"/>
            <w:noWrap w:val="false"/>
          </w:tcPr>
          <w:p>
            <w:pPr>
              <w:ind w:left="0" w:firstLine="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zh-CN"/>
              </w:rPr>
              <w:t xml:space="preserve">）人工智能小场景探索与实现</w:t>
            </w:r>
            <w:r>
              <w:rPr>
                <w:rFonts w:hint="eastAsia" w:ascii="宋体" w:hAnsi="宋体" w:eastAsia="宋体" w:cs="宋体"/>
                <w:b/>
                <w:bCs/>
                <w:color w:val="auto"/>
                <w:sz w:val="24"/>
                <w:szCs w:val="24"/>
                <w:highlight w:val="none"/>
                <w:lang w:val="en-US" w:eastAsia="zh-CN"/>
              </w:rPr>
              <w:t xml:space="preserve">方案</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根据项目需求，提供人工智能小场景探索与实现方案；</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①方案描述完整，需求分析详细合理，并提供详细切实可行的</w:t>
            </w:r>
            <w:r>
              <w:rPr>
                <w:rFonts w:hint="eastAsia" w:ascii="宋体" w:hAnsi="宋体" w:eastAsia="宋体" w:cs="宋体"/>
                <w:color w:val="auto"/>
                <w:sz w:val="24"/>
                <w:szCs w:val="24"/>
                <w:highlight w:val="none"/>
                <w:lang w:val="en-US" w:eastAsia="zh-CN"/>
              </w:rPr>
              <w:t xml:space="preserve">实现</w:t>
            </w:r>
            <w:r>
              <w:rPr>
                <w:rFonts w:hint="eastAsia" w:ascii="宋体" w:hAnsi="宋体" w:eastAsia="宋体" w:cs="宋体"/>
                <w:color w:val="auto"/>
                <w:sz w:val="24"/>
                <w:szCs w:val="24"/>
                <w:highlight w:val="none"/>
                <w:lang w:val="zh-CN"/>
              </w:rPr>
              <w:t xml:space="preserve">方案得</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②方案描述较为完整，需求分析较为合理，方案可行得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③方案描述一般或方案可行性存疑得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rPr>
              <w:t xml:space="preserve">分；</w:t>
            </w:r>
            <w:r/>
          </w:p>
          <w:p>
            <w:pPr>
              <w:ind w:left="0" w:firstLine="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④</w:t>
            </w:r>
            <w:r>
              <w:rPr>
                <w:rFonts w:hint="eastAsia" w:ascii="宋体" w:hAnsi="宋体" w:eastAsia="宋体" w:cs="宋体"/>
                <w:color w:val="auto"/>
                <w:sz w:val="24"/>
                <w:szCs w:val="24"/>
                <w:highlight w:val="none"/>
                <w:lang w:val="en-US" w:eastAsia="zh-CN"/>
              </w:rPr>
              <w:t xml:space="preserve">未提供或描述缺失的</w:t>
            </w:r>
            <w:r>
              <w:rPr>
                <w:rFonts w:hint="eastAsia" w:ascii="宋体" w:hAnsi="宋体" w:eastAsia="宋体" w:cs="宋体"/>
                <w:color w:val="auto"/>
                <w:sz w:val="24"/>
                <w:szCs w:val="24"/>
                <w:highlight w:val="none"/>
                <w:lang w:val="zh-CN"/>
              </w:rPr>
              <w:t xml:space="preserve">0分。</w:t>
            </w:r>
            <w:r/>
          </w:p>
        </w:tc>
      </w:tr>
    </w:tbl>
    <w:p>
      <w:pPr>
        <w:ind w:firstLine="480"/>
        <w:spacing w:line="360" w:lineRule="auto"/>
        <w:widowControl/>
        <w:tabs>
          <w:tab w:val="left" w:pos="0" w:leader="none"/>
          <w:tab w:val="left" w:pos="993" w:leader="none"/>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360" w:lineRule="auto"/>
        <w:widowControl/>
        <w:tabs>
          <w:tab w:val="left" w:pos="0" w:leader="none"/>
          <w:tab w:val="left" w:pos="993" w:leader="none"/>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供应商得分为评标小组成员评分的算术平均分,分值四舍五入保留小数点后两位。</w:t>
      </w:r>
      <w:r/>
    </w:p>
    <w:p>
      <w:pPr>
        <w:ind w:firstLine="480"/>
        <w:spacing w:line="360" w:lineRule="auto"/>
        <w:widowControl/>
        <w:tabs>
          <w:tab w:val="left" w:pos="0" w:leader="none"/>
          <w:tab w:val="left" w:pos="993" w:leader="none"/>
          <w:tab w:val="left" w:pos="1134"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注：①请供应商对“评分标准表”中的所有打分项逐一响应并提供证明文件。 </w:t>
      </w:r>
      <w:r/>
    </w:p>
    <w:p>
      <w:pPr>
        <w:ind w:firstLine="480"/>
        <w:spacing w:line="360" w:lineRule="auto"/>
        <w:widowControl/>
        <w:tabs>
          <w:tab w:val="left" w:pos="0" w:leader="none"/>
          <w:tab w:val="left" w:pos="993" w:leader="none"/>
          <w:tab w:val="left" w:pos="1134"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②请供应商制作响应文件的时保证图片、文字材料的完整、清晰可辨，任何原因导致评委看不清楚或无法查看，后果由供应商自负。</w:t>
      </w:r>
      <w:r/>
    </w:p>
    <w:p>
      <w:pPr>
        <w:ind w:firstLine="480"/>
        <w:spacing w:line="360" w:lineRule="auto"/>
        <w:widowControl/>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③上述投标文件中，证书或证明或报告必须提供扫描件（加盖投标人公章），如发现弄虚作假的，将按照本招标文件相关条款规定予以处理。</w:t>
      </w:r>
      <w:r/>
    </w:p>
    <w:p>
      <w:pPr>
        <w:ind w:firstLine="480"/>
        <w:spacing w:line="360" w:lineRule="auto"/>
        <w:widowControl/>
        <w:tabs>
          <w:tab w:val="left" w:pos="0" w:leader="none"/>
          <w:tab w:val="left" w:pos="993" w:leader="none"/>
          <w:tab w:val="left" w:pos="1134" w:leader="none"/>
        </w:tabs>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④</w:t>
      </w:r>
      <w:r>
        <w:rPr>
          <w:rFonts w:hint="eastAsia" w:ascii="宋体" w:hAnsi="宋体" w:eastAsia="宋体" w:cs="宋体"/>
          <w:color w:val="auto"/>
          <w:sz w:val="24"/>
          <w:szCs w:val="24"/>
          <w:highlight w:val="none"/>
        </w:rPr>
        <w:t xml:space="preserve">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w:t>
      </w:r>
      <w:r>
        <w:rPr>
          <w:rFonts w:hint="eastAsia" w:ascii="宋体" w:hAnsi="宋体" w:cs="宋体"/>
          <w:color w:val="auto"/>
          <w:sz w:val="24"/>
          <w:szCs w:val="24"/>
          <w:highlight w:val="none"/>
        </w:rPr>
        <w:t xml:space="preserve">关法律法规规定处理。</w:t>
      </w:r>
      <w:r/>
    </w:p>
    <w:p>
      <w:pPr>
        <w:pStyle w:val="1105"/>
        <w:ind w:firstLine="480"/>
        <w:rPr>
          <w:rFonts w:hint="eastAsia" w:cs="宋体"/>
          <w:color w:val="auto"/>
          <w:sz w:val="24"/>
          <w:szCs w:val="24"/>
          <w:highlight w:val="none"/>
        </w:rPr>
      </w:pPr>
      <w:r>
        <w:rPr>
          <w:rFonts w:hint="eastAsia" w:cs="宋体"/>
          <w:color w:val="auto"/>
          <w:sz w:val="24"/>
          <w:szCs w:val="24"/>
          <w:highlight w:val="none"/>
        </w:rPr>
        <w:t xml:space="preserve">2.价格标部分（</w:t>
      </w:r>
      <w:r>
        <w:rPr>
          <w:rFonts w:hint="eastAsia" w:cs="宋体"/>
          <w:color w:val="auto"/>
          <w:sz w:val="24"/>
          <w:szCs w:val="24"/>
          <w:highlight w:val="none"/>
          <w:lang w:val="en-US" w:eastAsia="zh-CN"/>
        </w:rPr>
        <w:t xml:space="preserve">2</w:t>
      </w:r>
      <w:r>
        <w:rPr>
          <w:rFonts w:hint="eastAsia" w:cs="宋体"/>
          <w:color w:val="auto"/>
          <w:sz w:val="24"/>
          <w:szCs w:val="24"/>
          <w:highlight w:val="none"/>
        </w:rPr>
        <w:t xml:space="preserve">0分）</w:t>
      </w:r>
      <w:r/>
    </w:p>
    <w:tbl>
      <w:tblPr>
        <w:tblStyle w:val="863"/>
        <w:tblW w:w="10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2142"/>
        <w:gridCol w:w="7304"/>
      </w:tblGrid>
      <w:tr>
        <w:trPr>
          <w:jc w:val="center"/>
        </w:trPr>
        <w:tc>
          <w:tcPr>
            <w:tcW w:w="1273"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条款</w:t>
            </w:r>
            <w:r/>
          </w:p>
        </w:tc>
        <w:tc>
          <w:tcPr>
            <w:tcW w:w="2142"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评审因素</w:t>
            </w:r>
            <w:r/>
          </w:p>
        </w:tc>
        <w:tc>
          <w:tcPr>
            <w:tcW w:w="7304"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评审标准</w:t>
            </w:r>
            <w:r/>
          </w:p>
        </w:tc>
      </w:tr>
      <w:tr>
        <w:trPr>
          <w:jc w:val="center"/>
        </w:trPr>
        <w:tc>
          <w:tcPr>
            <w:tcW w:w="1273"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0分）</w:t>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2142" w:type="dxa"/>
            <w:vAlign w:val="center"/>
            <w:textDirection w:val="lrTb"/>
            <w:noWrap/>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tc>
        <w:tc>
          <w:tcPr>
            <w:tcW w:w="7304" w:type="dxa"/>
            <w:vAlign w:val="center"/>
            <w:textDirection w:val="lrTb"/>
            <w:noWrap/>
          </w:tcPr>
          <w:p>
            <w:pPr>
              <w:spacing w:line="360" w:lineRule="auto"/>
              <w:rPr>
                <w:rFonts w:hint="eastAsia" w:cs="宋体"/>
                <w:bCs/>
                <w:color w:val="auto"/>
                <w:szCs w:val="21"/>
                <w:highlight w:val="none"/>
              </w:rPr>
            </w:pPr>
            <w:r>
              <w:rPr>
                <w:rFonts w:hint="eastAsia" w:cs="宋体"/>
                <w:bCs/>
                <w:color w:val="auto"/>
                <w:szCs w:val="21"/>
                <w:highlight w:val="none"/>
              </w:rPr>
              <w:t xml:space="preserve">以满足招标文件要求的最低报价为基准价，得满分</w:t>
            </w:r>
            <w:r>
              <w:rPr>
                <w:rFonts w:hint="eastAsia" w:cs="宋体"/>
                <w:bCs/>
                <w:color w:val="auto"/>
                <w:szCs w:val="21"/>
                <w:highlight w:val="none"/>
                <w:lang w:val="en-US" w:eastAsia="zh-CN"/>
              </w:rPr>
              <w:t xml:space="preserve">2</w:t>
            </w:r>
            <w:r>
              <w:rPr>
                <w:rFonts w:hint="eastAsia" w:cs="宋体"/>
                <w:bCs/>
                <w:color w:val="auto"/>
                <w:szCs w:val="21"/>
                <w:highlight w:val="none"/>
              </w:rPr>
              <w:t xml:space="preserve">0分。</w:t>
            </w:r>
            <w:r/>
          </w:p>
          <w:p>
            <w:pPr>
              <w:spacing w:line="360" w:lineRule="auto"/>
              <w:rPr>
                <w:rFonts w:hint="eastAsia" w:cs="宋体"/>
                <w:bCs/>
                <w:color w:val="auto"/>
                <w:szCs w:val="21"/>
                <w:highlight w:val="none"/>
              </w:rPr>
            </w:pPr>
            <w:r>
              <w:rPr>
                <w:rFonts w:hint="eastAsia" w:cs="宋体"/>
                <w:bCs/>
                <w:color w:val="auto"/>
                <w:szCs w:val="21"/>
                <w:highlight w:val="none"/>
              </w:rPr>
              <w:t xml:space="preserve">其它报价得分＝（评标基准价/投标报价）*价格权重（</w:t>
            </w:r>
            <w:r>
              <w:rPr>
                <w:rFonts w:hint="eastAsia" w:cs="宋体"/>
                <w:bCs/>
                <w:color w:val="auto"/>
                <w:szCs w:val="21"/>
                <w:highlight w:val="none"/>
                <w:lang w:val="en-US" w:eastAsia="zh-CN"/>
              </w:rPr>
              <w:t xml:space="preserve">2</w:t>
            </w:r>
            <w:r>
              <w:rPr>
                <w:rFonts w:hint="eastAsia" w:cs="宋体"/>
                <w:bCs/>
                <w:color w:val="auto"/>
                <w:szCs w:val="21"/>
                <w:highlight w:val="none"/>
              </w:rPr>
              <w:t xml:space="preserve">0%）*100，保留两位小数。</w:t>
            </w:r>
            <w:r/>
          </w:p>
        </w:tc>
      </w:tr>
    </w:tbl>
    <w:p>
      <w:pPr>
        <w:ind w:firstLine="441"/>
        <w:jc w:val="left"/>
        <w:spacing w:before="120" w:after="120"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（四）政府采购政策功能落实</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1、小微型企业价格扣除</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（1）本项目对小型和微型企业产品给予10%的扣除价格，用扣除后的价格参与评审。</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（2）供应商需按照采购文件的要求提供相应的《小微企业声明函》。</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（3）企业标准请参照《关于印发中小企业划型标准规定的通知》（工信部联企业[2011]300号）文件规定自行填写。</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2、残疾人福利单位价格扣除</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（1）本项目对残疾人福利性单位视同小型、微型企业，给予10%的价格扣除，用扣除后的价格参与评审。</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（2）残疾人福利单位需按照采购文件的要求提供《残疾人福利性单位声明函》。</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（3）残疾人福利单位标准请参照《关于促进残疾人就业政府采购政策的通知》（财库〔2017〕141号）。</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3、监狱和戒毒企业价格扣除</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（1）本项目对监狱和戒毒企业（简称监狱企业）视同小型、微型企业，给予10%的价格扣除，用扣除后的价格参与评审。</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（3）监狱企业标准请参照《关于政府采购支持监狱企业发展有关问题的通知》（</w:t>
      </w:r>
      <w:r>
        <w:rPr>
          <w:rFonts w:ascii="Arial" w:hAnsi="Arial" w:cs="Arial"/>
          <w:color w:val="auto"/>
          <w:sz w:val="24"/>
          <w:szCs w:val="24"/>
          <w:highlight w:val="none"/>
        </w:rPr>
        <w:t xml:space="preserve">财库[2014]68号</w:t>
      </w:r>
      <w:r>
        <w:rPr>
          <w:rFonts w:hint="eastAsia" w:ascii="Arial" w:hAnsi="Arial" w:cs="Arial"/>
          <w:color w:val="auto"/>
          <w:sz w:val="24"/>
          <w:szCs w:val="24"/>
          <w:highlight w:val="none"/>
        </w:rPr>
        <w:t xml:space="preserve">）。</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4、残疾人福利单位、监狱企业属于小型、微型企业的，不重复享受政策。</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Arial" w:hAnsi="Arial" w:cs="Arial"/>
          <w:color w:val="auto"/>
          <w:sz w:val="24"/>
          <w:szCs w:val="24"/>
          <w:highlight w:val="none"/>
        </w:rPr>
        <w:t xml:space="preserve">4</w:t>
      </w:r>
      <w:r>
        <w:rPr>
          <w:rFonts w:hint="eastAsia" w:ascii="Arial" w:hAnsi="Arial" w:cs="Arial"/>
          <w:color w:val="auto"/>
          <w:sz w:val="24"/>
          <w:szCs w:val="24"/>
          <w:highlight w:val="none"/>
        </w:rPr>
        <w:t xml:space="preserve">%的价格扣除，用扣除后的价格参与评审。</w:t>
      </w:r>
      <w:r/>
    </w:p>
    <w:p>
      <w:pPr>
        <w:ind w:firstLine="439"/>
        <w:jc w:val="left"/>
        <w:spacing w:before="120" w:after="120" w:line="360" w:lineRule="auto"/>
        <w:rPr>
          <w:rFonts w:hint="eastAsia" w:ascii="Arial" w:hAnsi="Arial" w:cs="Arial"/>
          <w:color w:val="auto"/>
          <w:sz w:val="24"/>
          <w:szCs w:val="24"/>
          <w:highlight w:val="none"/>
        </w:rPr>
      </w:pPr>
      <w:r>
        <w:rPr>
          <w:rFonts w:hint="eastAsia" w:ascii="Arial" w:hAnsi="Arial" w:cs="Arial"/>
          <w:color w:val="auto"/>
          <w:sz w:val="24"/>
          <w:szCs w:val="24"/>
          <w:highlight w:val="none"/>
        </w:rPr>
        <w:t xml:space="preserve">6、联合体各方均为小型、微型企业（残疾人福利单位、监狱企业）的，联合体享受10%价格扣除，用扣除后的价格参与评审。</w:t>
      </w:r>
      <w:r/>
    </w:p>
    <w:p>
      <w:pPr>
        <w:jc w:val="center"/>
        <w:keepNext/>
        <w:rPr>
          <w:rFonts w:hint="eastAsia" w:ascii="黑体" w:eastAsia="黑体"/>
          <w:bCs/>
          <w:color w:val="auto"/>
          <w:sz w:val="44"/>
          <w:szCs w:val="28"/>
          <w:highlight w:val="none"/>
        </w:rPr>
        <w:outlineLvl w:val="0"/>
      </w:pPr>
      <w:r>
        <w:rPr>
          <w:rFonts w:hint="eastAsia" w:ascii="黑体" w:eastAsia="黑体"/>
          <w:bCs/>
          <w:color w:val="auto"/>
          <w:sz w:val="44"/>
          <w:szCs w:val="28"/>
          <w:highlight w:val="none"/>
        </w:rPr>
        <w:br w:type="column"/>
      </w:r>
      <w:r>
        <w:rPr>
          <w:rFonts w:hint="eastAsia" w:ascii="黑体" w:eastAsia="黑体"/>
          <w:bCs/>
          <w:color w:val="auto"/>
          <w:sz w:val="44"/>
          <w:szCs w:val="28"/>
          <w:highlight w:val="none"/>
        </w:rPr>
        <w:t xml:space="preserve">第六章  投标</w:t>
      </w:r>
      <w:bookmarkEnd w:id="177"/>
      <w:r/>
      <w:bookmarkEnd w:id="178"/>
      <w:r/>
      <w:bookmarkEnd w:id="179"/>
      <w:r>
        <w:rPr>
          <w:rFonts w:hint="eastAsia" w:ascii="黑体" w:eastAsia="黑体"/>
          <w:bCs/>
          <w:color w:val="auto"/>
          <w:sz w:val="44"/>
          <w:szCs w:val="28"/>
          <w:highlight w:val="none"/>
        </w:rPr>
        <w:t xml:space="preserve">文件格式 </w:t>
      </w:r>
      <w:r/>
    </w:p>
    <w:p>
      <w:pPr>
        <w:jc w:val="center"/>
        <w:rPr>
          <w:rFonts w:hint="eastAsia" w:ascii="宋体" w:hAnsi="宋体"/>
          <w:b/>
          <w:color w:val="auto"/>
          <w:sz w:val="72"/>
          <w:szCs w:val="21"/>
          <w:highlight w:val="none"/>
        </w:rPr>
      </w:pPr>
      <w:r/>
      <w:bookmarkStart w:id="183" w:name="_Hlt26955039"/>
      <w:r/>
      <w:bookmarkEnd w:id="183"/>
      <w:r/>
      <w:bookmarkStart w:id="184" w:name="_Hlt26671244"/>
      <w:r/>
      <w:bookmarkEnd w:id="184"/>
      <w:r/>
      <w:bookmarkStart w:id="185" w:name="_Toc120614282"/>
      <w:r/>
      <w:bookmarkStart w:id="186" w:name="_Toc26554094"/>
      <w:r/>
      <w:bookmarkStart w:id="187"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rPr>
          <w:rFonts w:hint="eastAsia" w:ascii="宋体" w:hAnsi="宋体"/>
          <w:b/>
          <w:bCs/>
          <w:color w:val="auto"/>
          <w:sz w:val="32"/>
          <w:szCs w:val="32"/>
          <w:highlight w:val="none"/>
        </w:rPr>
      </w:pPr>
      <w:r>
        <w:rPr>
          <w:rFonts w:ascii="宋体" w:hAnsi="宋体"/>
          <w:b/>
          <w:color w:val="auto"/>
          <w:sz w:val="36"/>
          <w:szCs w:val="21"/>
          <w:highlight w:val="none"/>
          <w:u w:val="single"/>
        </w:rPr>
        <w:br w:type="page" w:clear="all"/>
      </w:r>
      <w:r>
        <w:rPr>
          <w:rFonts w:hint="eastAsia" w:ascii="宋体" w:hAnsi="宋体"/>
          <w:b/>
          <w:bCs/>
          <w:color w:val="auto"/>
          <w:sz w:val="32"/>
          <w:szCs w:val="32"/>
          <w:highlight w:val="none"/>
        </w:rPr>
        <w:t xml:space="preserve">响应文件组成</w:t>
      </w:r>
      <w:r/>
    </w:p>
    <w:p>
      <w:pPr>
        <w:ind w:firstLine="480"/>
        <w:spacing w:line="440" w:lineRule="exact"/>
        <w:rPr>
          <w:rFonts w:hint="eastAsia" w:ascii="宋体" w:hAnsi="宋体"/>
          <w:b/>
          <w:bCs/>
          <w:color w:val="auto"/>
          <w:sz w:val="32"/>
          <w:szCs w:val="32"/>
          <w:highlight w:val="none"/>
        </w:rPr>
      </w:pPr>
      <w:r>
        <w:rPr>
          <w:rFonts w:hint="eastAsia" w:ascii="宋体" w:hAnsi="宋体" w:cs="宋体"/>
          <w:color w:val="auto"/>
          <w:sz w:val="24"/>
          <w:szCs w:val="21"/>
          <w:highlight w:val="none"/>
        </w:rPr>
        <w:t xml:space="preserve">1.</w:t>
      </w:r>
      <w:r>
        <w:rPr>
          <w:rFonts w:hint="eastAsia" w:ascii="宋体" w:hAnsi="宋体" w:cs="宋体"/>
          <w:color w:val="auto"/>
          <w:sz w:val="24"/>
          <w:szCs w:val="21"/>
          <w:highlight w:val="none"/>
          <w:lang w:val="zh-CN"/>
        </w:rPr>
        <w:t xml:space="preserve">开标一览表</w:t>
      </w:r>
      <w:r/>
    </w:p>
    <w:p>
      <w:pPr>
        <w:ind w:firstLine="643"/>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资格审查材料</w:t>
      </w:r>
      <w:r/>
    </w:p>
    <w:p>
      <w:pPr>
        <w:ind w:firstLine="480"/>
        <w:spacing w:line="440" w:lineRule="exact"/>
        <w:rPr>
          <w:rFonts w:hint="eastAsia" w:ascii="宋体" w:hAnsi="宋体" w:cs="宋体"/>
          <w:color w:val="auto"/>
          <w:sz w:val="24"/>
          <w:szCs w:val="21"/>
          <w:highlight w:val="none"/>
        </w:rPr>
      </w:pPr>
      <w:r/>
      <w:bookmarkStart w:id="188" w:name="_Hlk194869143"/>
      <w:r>
        <w:rPr>
          <w:rFonts w:hint="eastAsia" w:ascii="宋体" w:hAnsi="宋体" w:cs="宋体"/>
          <w:color w:val="auto"/>
          <w:sz w:val="24"/>
          <w:szCs w:val="21"/>
          <w:highlight w:val="none"/>
        </w:rPr>
        <w:t xml:space="preserve">1.投标人符合《政府采购法》第二十二条规定条件的声明函</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2.法人或者其他组织的营业执照等证明文件</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3.法人授权书</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4.提供2024年度由会计师事务所（或者审计机构）出具的财务报告或投标截止时间前三个月（不含投标截止时间当月）任意一个月的银行资信证明；（成立不满一年无需提供）；</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5.</w:t>
      </w:r>
      <w:r>
        <w:rPr>
          <w:rFonts w:hint="eastAsia" w:ascii="宋体" w:hAnsi="宋体" w:cs="宋体"/>
          <w:color w:val="auto"/>
          <w:sz w:val="24"/>
          <w:szCs w:val="24"/>
          <w:highlight w:val="none"/>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ind w:firstLine="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6.具备履行合同所必需的设备和专业技术能力的书面声明</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7.参加政府采购活动前 3 年内在经营活动中没有重大违法记录的书面声明</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cs="宋体"/>
          <w:color w:val="auto"/>
          <w:sz w:val="24"/>
          <w:szCs w:val="21"/>
          <w:highlight w:val="none"/>
        </w:rPr>
        <w:t xml:space="preserve">投标人依据招标文件要求，提交的其他材料。</w:t>
      </w:r>
      <w:bookmarkEnd w:id="188"/>
      <w:r/>
    </w:p>
    <w:p>
      <w:pPr>
        <w:spacing w:line="440" w:lineRule="exact"/>
        <w:rPr>
          <w:rFonts w:hint="eastAsia" w:ascii="宋体" w:hAnsi="宋体"/>
          <w:b/>
          <w:bCs/>
          <w:color w:val="auto"/>
          <w:sz w:val="32"/>
          <w:szCs w:val="32"/>
          <w:highlight w:val="none"/>
          <w:lang w:val="zh-CN"/>
        </w:rPr>
      </w:pPr>
      <w:r>
        <w:rPr>
          <w:rFonts w:hint="eastAsia" w:ascii="宋体" w:hAnsi="宋体"/>
          <w:b/>
          <w:bCs/>
          <w:color w:val="auto"/>
          <w:sz w:val="32"/>
          <w:szCs w:val="32"/>
          <w:highlight w:val="none"/>
          <w:lang w:val="zh-CN"/>
        </w:rPr>
        <w:t xml:space="preserve">　</w:t>
      </w:r>
      <w:r>
        <w:rPr>
          <w:rFonts w:hint="eastAsia" w:ascii="宋体" w:hAnsi="宋体"/>
          <w:b/>
          <w:bCs/>
          <w:color w:val="auto"/>
          <w:sz w:val="32"/>
          <w:szCs w:val="32"/>
          <w:highlight w:val="none"/>
        </w:rPr>
        <w:t xml:space="preserve"> </w:t>
      </w:r>
      <w:r>
        <w:rPr>
          <w:rFonts w:hint="eastAsia" w:ascii="宋体" w:hAnsi="宋体"/>
          <w:b/>
          <w:bCs/>
          <w:color w:val="auto"/>
          <w:sz w:val="32"/>
          <w:szCs w:val="32"/>
          <w:highlight w:val="none"/>
          <w:lang w:val="zh-CN"/>
        </w:rPr>
        <w:t xml:space="preserve">符合性条件材料</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1.投标响应函；</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ascii="宋体" w:hAnsi="宋体" w:cs="宋体"/>
          <w:color w:val="auto"/>
          <w:sz w:val="24"/>
          <w:szCs w:val="21"/>
          <w:highlight w:val="none"/>
        </w:rPr>
        <w:t xml:space="preserve">.技术要求响应及偏离表；</w:t>
      </w:r>
      <w:r/>
    </w:p>
    <w:p>
      <w:pPr>
        <w:ind w:firstLine="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ascii="宋体" w:hAnsi="宋体" w:cs="宋体"/>
          <w:color w:val="auto"/>
          <w:sz w:val="24"/>
          <w:szCs w:val="21"/>
          <w:highlight w:val="none"/>
        </w:rPr>
        <w:t xml:space="preserve">.商务要求响应及偏离表。</w:t>
      </w:r>
      <w:r/>
    </w:p>
    <w:p>
      <w:pPr>
        <w:ind w:firstLine="321"/>
        <w:spacing w:line="440" w:lineRule="exact"/>
        <w:rPr>
          <w:rFonts w:ascii="宋体" w:hAnsi="宋体"/>
          <w:b/>
          <w:bCs/>
          <w:color w:val="auto"/>
          <w:sz w:val="32"/>
          <w:szCs w:val="32"/>
          <w:highlight w:val="none"/>
          <w:lang w:val="zh-CN"/>
        </w:rPr>
      </w:pPr>
      <w:r>
        <w:rPr>
          <w:rFonts w:ascii="宋体" w:hAnsi="宋体"/>
          <w:b/>
          <w:bCs/>
          <w:color w:val="auto"/>
          <w:sz w:val="32"/>
          <w:szCs w:val="32"/>
          <w:highlight w:val="none"/>
          <w:lang w:val="zh-CN"/>
        </w:rPr>
        <w:t xml:space="preserve">报价折扣证明材料</w:t>
      </w:r>
      <w:r/>
    </w:p>
    <w:p>
      <w:pPr>
        <w:ind w:left="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1</w:t>
      </w:r>
      <w:r>
        <w:rPr>
          <w:rFonts w:ascii="宋体" w:hAnsi="宋体" w:cs="宋体"/>
          <w:color w:val="auto"/>
          <w:sz w:val="24"/>
          <w:szCs w:val="21"/>
          <w:highlight w:val="none"/>
        </w:rPr>
        <w:t xml:space="preserve">.中小企业声明函；</w:t>
      </w:r>
      <w:r/>
    </w:p>
    <w:p>
      <w:pPr>
        <w:ind w:left="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2.监狱企业证明函；</w:t>
      </w:r>
      <w:r/>
    </w:p>
    <w:p>
      <w:pPr>
        <w:ind w:left="480"/>
        <w:spacing w:line="440" w:lineRule="exact"/>
        <w:rPr>
          <w:rFonts w:ascii="宋体" w:hAnsi="宋体" w:cs="宋体"/>
          <w:color w:val="auto"/>
          <w:sz w:val="24"/>
          <w:szCs w:val="21"/>
          <w:highlight w:val="none"/>
        </w:rPr>
      </w:pPr>
      <w:r>
        <w:rPr>
          <w:rFonts w:hint="eastAsia" w:ascii="宋体" w:hAnsi="宋体" w:cs="宋体"/>
          <w:color w:val="auto"/>
          <w:sz w:val="24"/>
          <w:szCs w:val="21"/>
          <w:highlight w:val="none"/>
        </w:rPr>
        <w:t xml:space="preserve">3.残疾人福利性单位声明函。</w:t>
      </w:r>
      <w:r/>
    </w:p>
    <w:p>
      <w:pPr>
        <w:ind w:left="480"/>
        <w:spacing w:line="440"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line="440" w:lineRule="exact"/>
        <w:rPr>
          <w:rFonts w:hint="eastAsia" w:ascii="宋体" w:hAnsi="宋体"/>
          <w:b/>
          <w:bCs/>
          <w:color w:val="auto"/>
          <w:sz w:val="24"/>
          <w:szCs w:val="21"/>
          <w:highlight w:val="none"/>
        </w:rPr>
      </w:pPr>
      <w:r>
        <w:rPr>
          <w:rFonts w:hint="eastAsia" w:ascii="宋体" w:hAnsi="宋体"/>
          <w:b/>
          <w:bCs/>
          <w:color w:val="auto"/>
          <w:sz w:val="24"/>
          <w:szCs w:val="21"/>
          <w:highlight w:val="none"/>
        </w:rPr>
        <w:br w:type="page" w:clear="all"/>
      </w:r>
      <w:r>
        <w:rPr>
          <w:rFonts w:hint="eastAsia" w:ascii="宋体" w:hAnsi="宋体"/>
          <w:b/>
          <w:bCs/>
          <w:color w:val="auto"/>
          <w:sz w:val="24"/>
          <w:szCs w:val="21"/>
          <w:highlight w:val="none"/>
        </w:rPr>
        <w:t xml:space="preserve">格式附件如下：</w:t>
      </w:r>
      <w:r/>
    </w:p>
    <w:p>
      <w:pPr>
        <w:rPr>
          <w:rFonts w:hint="eastAsia"/>
          <w:color w:val="auto"/>
          <w:highlight w:val="none"/>
        </w:rPr>
      </w:pPr>
      <w:r>
        <w:rPr>
          <w:rFonts w:hint="eastAsia"/>
          <w:color w:val="auto"/>
          <w:highlight w:val="none"/>
        </w:rPr>
      </w:r>
      <w:r/>
    </w:p>
    <w:p>
      <w:pPr>
        <w:jc w:val="center"/>
        <w:keepLines/>
        <w:keepNext/>
        <w:spacing w:before="260" w:after="260" w:line="416"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r>
      <w:r/>
    </w:p>
    <w:p>
      <w:pPr>
        <w:jc w:val="center"/>
        <w:keepLines/>
        <w:keepNext/>
        <w:spacing w:before="260" w:after="260" w:line="416"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招标编号：                                   </w:t>
      </w:r>
      <w:r/>
    </w:p>
    <w:p>
      <w:pPr>
        <w:ind w:firstLine="480"/>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分包号</w:t>
      </w:r>
      <w:r>
        <w:rPr>
          <w:rFonts w:hint="eastAsia" w:ascii="宋体" w:hAnsi="宋体"/>
          <w:color w:val="auto"/>
          <w:sz w:val="24"/>
          <w:szCs w:val="24"/>
          <w:highlight w:val="none"/>
        </w:rPr>
        <w:t xml:space="preserve">：</w:t>
      </w:r>
      <w:r/>
    </w:p>
    <w:tbl>
      <w:tblPr>
        <w:tblStyle w:val="86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45"/>
        <w:spacing w:line="560" w:lineRule="exact"/>
        <w:rPr>
          <w:rFonts w:hint="eastAsia" w:ascii="宋体" w:hAnsi="宋体"/>
          <w:color w:val="auto"/>
          <w:sz w:val="24"/>
          <w:szCs w:val="21"/>
          <w:highlight w:val="none"/>
        </w:rPr>
      </w:pPr>
      <w:r>
        <w:rPr>
          <w:rFonts w:hint="eastAsia" w:ascii="宋体" w:hAnsi="宋体"/>
          <w:color w:val="auto"/>
          <w:sz w:val="24"/>
          <w:szCs w:val="21"/>
          <w:highlight w:val="none"/>
        </w:rPr>
      </w:r>
      <w:r/>
    </w:p>
    <w:p>
      <w:pPr>
        <w:pStyle w:val="864"/>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br w:type="column"/>
      </w:r>
      <w:r>
        <w:rPr>
          <w:rFonts w:hint="eastAsia" w:ascii="宋体" w:hAnsi="宋体"/>
          <w:b/>
          <w:color w:val="auto"/>
          <w:sz w:val="30"/>
          <w:szCs w:val="30"/>
          <w:highlight w:val="none"/>
        </w:rPr>
        <w:t xml:space="preserve">投标人符合《政府采购法》第二十二条规定条件的声明函</w:t>
      </w:r>
      <w:r/>
    </w:p>
    <w:p>
      <w:pPr>
        <w:spacing w:line="460" w:lineRule="exact"/>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520" w:lineRule="exact"/>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0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640"/>
        <w:spacing w:line="440" w:lineRule="exact"/>
        <w:rPr>
          <w:rFonts w:ascii="宋体" w:hAnsi="宋体"/>
          <w:color w:val="auto"/>
          <w:sz w:val="24"/>
          <w:szCs w:val="21"/>
          <w:highlight w:val="none"/>
        </w:rPr>
      </w:pPr>
      <w:r>
        <w:rPr>
          <w:rFonts w:eastAsia="方正黑体_GBK"/>
          <w:color w:val="auto"/>
          <w:sz w:val="32"/>
          <w:szCs w:val="32"/>
          <w:highlight w:val="none"/>
        </w:rPr>
        <w:br w:type="page" w:clear="all"/>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法人或者其他组织的营业执照等证明文件</w:t>
      </w:r>
      <w:r/>
    </w:p>
    <w:p>
      <w:pPr>
        <w:pStyle w:val="864"/>
        <w:jc w:val="center"/>
        <w:rPr>
          <w:rFonts w:hint="eastAsia" w:eastAsia="宋体"/>
          <w:color w:val="auto"/>
          <w:highlight w:val="none"/>
        </w:rPr>
      </w:pPr>
      <w:r>
        <w:rPr>
          <w:rFonts w:hint="eastAsia" w:ascii="宋体" w:hAnsi="宋体" w:eastAsia="宋体"/>
          <w:b/>
          <w:color w:val="auto"/>
          <w:sz w:val="30"/>
          <w:szCs w:val="30"/>
          <w:highlight w:val="none"/>
        </w:rPr>
        <w:t xml:space="preserve">（扫描件）</w:t>
      </w:r>
      <w:r/>
    </w:p>
    <w:p>
      <w:pPr>
        <w:pStyle w:val="864"/>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法人授权书</w:t>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本授权书声明：____________（投标人名称）授权________________（被授权人的姓名）为我方就JSZC-</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本授权书于______年____月____日起生效，特此声明。</w:t>
      </w:r>
      <w:r/>
    </w:p>
    <w:p>
      <w:pPr>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tabs>
          <w:tab w:val="left" w:pos="360" w:leader="none"/>
        </w:tabs>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p>
    <w:p>
      <w:pPr>
        <w:ind w:firstLine="1200"/>
        <w:tabs>
          <w:tab w:val="left" w:pos="360" w:leader="none"/>
        </w:tabs>
        <w:rPr>
          <w:rFonts w:hint="eastAsia"/>
          <w:color w:val="auto"/>
          <w:sz w:val="24"/>
          <w:szCs w:val="24"/>
          <w:highlight w:val="none"/>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p>
    <w:p>
      <w:pPr>
        <w:ind w:firstLine="480"/>
        <w:tabs>
          <w:tab w:val="left" w:pos="360" w:leader="none"/>
        </w:tabs>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ind w:firstLine="480"/>
        <w:tabs>
          <w:tab w:val="left" w:pos="360" w:leader="none"/>
        </w:tabs>
        <w:rPr>
          <w:rFonts w:hint="eastAsia"/>
          <w:color w:val="auto"/>
          <w:sz w:val="24"/>
          <w:szCs w:val="24"/>
          <w:highlight w:val="none"/>
        </w:rPr>
      </w:pPr>
      <w:r>
        <w:rPr>
          <w:rFonts w:hint="eastAsia"/>
          <w:color w:val="auto"/>
          <w:sz w:val="24"/>
          <w:szCs w:val="24"/>
          <w:highlight w:val="none"/>
        </w:rPr>
        <w:t xml:space="preserve">      日期：</w:t>
      </w:r>
      <w:bookmarkStart w:id="189" w:name="_Hlt26671380"/>
      <w:r/>
      <w:bookmarkEnd w:id="189"/>
      <w:r/>
      <w:bookmarkStart w:id="190" w:name="_Hlt26955070"/>
      <w:r/>
      <w:bookmarkEnd w:id="190"/>
      <w:r/>
      <w:bookmarkStart w:id="191" w:name="_格式3__银行出具的资信证明"/>
      <w:r/>
      <w:bookmarkEnd w:id="191"/>
      <w:r>
        <w:rPr>
          <w:rFonts w:hint="eastAsia"/>
          <w:color w:val="auto"/>
          <w:sz w:val="24"/>
          <w:szCs w:val="24"/>
          <w:highlight w:val="none"/>
          <w:u w:val="single"/>
        </w:rPr>
        <w:t xml:space="preserve">                                         </w:t>
      </w:r>
      <w:r/>
    </w:p>
    <w:p>
      <w:pPr>
        <w:ind w:firstLine="420"/>
        <w:rPr>
          <w:rFonts w:hint="eastAsia"/>
          <w:i/>
          <w:color w:val="auto"/>
          <w:sz w:val="24"/>
          <w:szCs w:val="24"/>
          <w:highlight w:val="none"/>
          <w:u w:val="single"/>
        </w:rPr>
      </w:pPr>
      <w:r>
        <w:rPr>
          <w:rFonts w:hint="eastAsia"/>
          <w:i/>
          <w:color w:val="auto"/>
          <w:sz w:val="24"/>
          <w:szCs w:val="24"/>
          <w:highlight w:val="none"/>
          <w:u w:val="single"/>
        </w:rPr>
      </w:r>
      <w:r/>
    </w:p>
    <w:p>
      <w:pPr>
        <w:rPr>
          <w:rFonts w:hint="eastAsia"/>
          <w:color w:val="auto"/>
          <w:szCs w:val="21"/>
          <w:highlight w:val="none"/>
        </w:rPr>
      </w:pPr>
      <w:r>
        <w:rPr>
          <w:rFonts w:hint="eastAsia"/>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br w:type="page" w:clear="all"/>
      </w:r>
      <w:r/>
    </w:p>
    <w:p>
      <w:pPr>
        <w:jc w:val="center"/>
        <w:spacing w:line="440" w:lineRule="exact"/>
        <w:rPr>
          <w:rFonts w:ascii="宋体" w:hAnsi="宋体"/>
          <w:bCs/>
          <w:color w:val="auto"/>
          <w:sz w:val="24"/>
          <w:szCs w:val="21"/>
          <w:highlight w:val="none"/>
        </w:rPr>
      </w:pPr>
      <w:r>
        <w:rPr>
          <w:rFonts w:hint="eastAsia" w:ascii="宋体" w:hAnsi="宋体"/>
          <w:b/>
          <w:color w:val="auto"/>
          <w:sz w:val="30"/>
          <w:szCs w:val="30"/>
          <w:highlight w:val="none"/>
        </w:rPr>
        <w:t xml:space="preserve">提供2024年度由会计师事务所（或者审计机构）出具的财务报告或投标截止时间前三个月（不含投标截止时间当月）任意一个月的银行资信证明；（成立不满一年无需提供）</w:t>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依法缴纳税收和社会保障资金的相关材料</w:t>
      </w:r>
      <w:r/>
    </w:p>
    <w:p>
      <w:pPr>
        <w:ind w:firstLine="480"/>
        <w:rPr>
          <w:rFonts w:hint="eastAsia" w:ascii="宋体" w:hAnsi="宋体"/>
          <w:bCs/>
          <w:color w:val="auto"/>
          <w:sz w:val="24"/>
          <w:szCs w:val="21"/>
          <w:highlight w:val="none"/>
        </w:rPr>
      </w:pPr>
      <w:r>
        <w:rPr>
          <w:rFonts w:hint="eastAsia" w:ascii="宋体" w:hAnsi="宋体" w:cs="宋体"/>
          <w:color w:val="auto"/>
          <w:sz w:val="24"/>
          <w:szCs w:val="24"/>
          <w:highlight w:val="none"/>
        </w:rPr>
        <w:t xml:space="preserve">供应商有依法缴纳税收和社会保障资金的良好记录：供应商依法缴纳近一年内任意一个月税收的相关凭证的复印件，及供应商依法缴纳近一年内任意一个月社会保险的相关凭证（社会保险的凭据（专用收据或社会保险缴纳清单）），依法免税或不需要缴纳社会保障资金的供应商，应提供相应文件证明其依法免税或不需要缴纳社会保障资金。</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rPr>
          <w:rFonts w:hint="eastAsia" w:ascii="宋体" w:hAnsi="宋体"/>
          <w:bCs/>
          <w:color w:val="auto"/>
          <w:sz w:val="24"/>
          <w:szCs w:val="21"/>
          <w:highlight w:val="none"/>
        </w:rPr>
        <w:t xml:space="preserve">           </w:t>
      </w:r>
      <w:r/>
    </w:p>
    <w:p>
      <w:pPr>
        <w:rPr>
          <w:rFonts w:hint="eastAsia"/>
          <w:color w:val="auto"/>
          <w:szCs w:val="21"/>
          <w:highlight w:val="none"/>
        </w:rPr>
      </w:pPr>
      <w:r>
        <w:rPr>
          <w:rFonts w:hint="eastAsia"/>
          <w:color w:val="auto"/>
          <w:szCs w:val="21"/>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bCs/>
          <w:color w:val="auto"/>
          <w:sz w:val="24"/>
          <w:szCs w:val="21"/>
          <w:highlight w:val="none"/>
        </w:rPr>
      </w:pPr>
      <w:r>
        <w:rPr>
          <w:rFonts w:hint="eastAsia" w:ascii="黑体" w:hAnsi="黑体" w:eastAsia="黑体"/>
          <w:i/>
          <w:color w:val="auto"/>
          <w:sz w:val="32"/>
          <w:szCs w:val="32"/>
          <w:highlight w:val="none"/>
          <w:u w:val="single"/>
        </w:rPr>
        <w:br w:type="page" w:clear="all"/>
      </w:r>
      <w:bookmarkEnd w:id="185"/>
      <w:r/>
      <w:bookmarkEnd w:id="186"/>
      <w:r/>
      <w:bookmarkEnd w:id="187"/>
      <w:r/>
      <w:bookmarkStart w:id="192" w:name="_Toc120614284"/>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中小企业声明函（服务）（标段：**）</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本公司（联合体）郑重声明，根据《政府采购促进中小企业发展管理办法》(财库[2020]46号)的规定，本公司（联合体）参加南通市通州区公共资源交易中心组织的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（项目名称）（标段：**）</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行业；承接企业为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24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s="宋体"/>
          <w:b/>
          <w:bCs/>
          <w:color w:val="auto"/>
          <w:sz w:val="32"/>
          <w:szCs w:val="32"/>
          <w:highlight w:val="none"/>
        </w:rPr>
        <w:br w:type="page" w:clear="all"/>
      </w:r>
      <w:r/>
    </w:p>
    <w:p>
      <w:pPr>
        <w:ind w:firstLine="321"/>
        <w:jc w:val="center"/>
        <w:spacing w:line="56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中小企业划型标准规定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一、根据《中华人民共和国中小企业促进法》和《国务院关于进一步促进中小企业发展的若干意见》(国发〔2009〕36号)，制定本规定。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二、中小企业划分为中型、小型、微型三种类型，具体标准根据企业从业人员、营业收入、资产总额等指标，结合行业特点制定。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四、各行业划型标准为：</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五、企业类型的划分以统计部门的统计数据为依据。</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六、本规定适用于在中华人民共和国境内依法设立的各类所有制和各种组织形式的企业。个体工商户和本规定以外的行业，参照本规定进行划型。</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八、本规定由工业和信息化部、国家统计局会同有关部门根据《国民经济行业分类》修订情况和企业发展变化情况适时修订。</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九、本规定由工业和信息化部、国家统计局会同有关部门负责解释。</w:t>
      </w:r>
      <w:r/>
    </w:p>
    <w:p>
      <w:pPr>
        <w:pStyle w:val="1163"/>
        <w:ind w:firstLine="482"/>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十、本规定自发布之日起执行，原国家经贸委、原国家计委、财政部和国家统计局2003年颁布的《中小企业标准暂行规定》同时废止。</w:t>
      </w:r>
      <w:r/>
    </w:p>
    <w:p>
      <w:pPr>
        <w:jc w:val="center"/>
        <w:spacing w:line="460" w:lineRule="exact"/>
        <w:rPr>
          <w:rFonts w:hint="eastAsia" w:ascii="宋体" w:hAnsi="宋体"/>
          <w:b/>
          <w:color w:val="auto"/>
          <w:sz w:val="30"/>
          <w:szCs w:val="30"/>
          <w:highlight w:val="none"/>
        </w:rPr>
      </w:pPr>
      <w:r>
        <w:rPr>
          <w:rFonts w:hint="eastAsia" w:ascii="宋体" w:hAnsi="宋体" w:cs="宋体"/>
          <w:color w:val="auto"/>
          <w:sz w:val="24"/>
          <w:highlight w:val="none"/>
        </w:rPr>
        <w:br w:type="page" w:clear="all"/>
      </w:r>
      <w:r>
        <w:rPr>
          <w:rFonts w:hint="eastAsia" w:ascii="宋体" w:hAnsi="宋体"/>
          <w:b/>
          <w:color w:val="auto"/>
          <w:sz w:val="30"/>
          <w:szCs w:val="30"/>
          <w:highlight w:val="none"/>
        </w:rPr>
        <w:t xml:space="preserve">残疾人福利性单位声明函</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（备注：</w:t>
      </w:r>
      <w:r>
        <w:rPr>
          <w:rFonts w:hint="eastAsia" w:ascii="宋体" w:hAnsi="宋体"/>
          <w:color w:val="auto"/>
          <w:sz w:val="24"/>
          <w:szCs w:val="21"/>
          <w:highlight w:val="none"/>
          <w:lang w:val="en-US" w:eastAsia="zh-CN"/>
        </w:rPr>
        <w:t xml:space="preserve">1、</w:t>
      </w:r>
      <w:r>
        <w:rPr>
          <w:rFonts w:hint="eastAsia" w:ascii="宋体" w:hAnsi="宋体"/>
          <w:color w:val="auto"/>
          <w:sz w:val="24"/>
          <w:szCs w:val="21"/>
          <w:highlight w:val="none"/>
        </w:rPr>
        <w:t xml:space="preserve">中标供应商为残疾人福利单位的，此声明函将随中标结果同时公告，接受社会监督）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420" w:lineRule="exact"/>
        <w:rPr>
          <w:rFonts w:ascii="Calibri" w:hAnsi="Calibri"/>
          <w:b/>
          <w:bCs/>
          <w:color w:val="auto"/>
          <w:sz w:val="32"/>
          <w:szCs w:val="32"/>
          <w:highlight w:val="none"/>
        </w:rPr>
        <w:outlineLvl w:val="3"/>
      </w:pPr>
      <w:r/>
      <w:bookmarkStart w:id="193" w:name="_Hlk110516980"/>
      <w:r>
        <w:rPr>
          <w:rFonts w:hint="eastAsia" w:ascii="Calibri" w:hAnsi="Calibri"/>
          <w:b/>
          <w:bCs/>
          <w:color w:val="auto"/>
          <w:sz w:val="32"/>
          <w:szCs w:val="32"/>
          <w:highlight w:val="none"/>
        </w:rPr>
        <w:t xml:space="preserve">监狱和戒毒企业证明材料</w:t>
      </w:r>
      <w:r/>
    </w:p>
    <w:p>
      <w:pPr>
        <w:ind w:firstLine="496"/>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6"/>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1"/>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193"/>
      <w:r/>
    </w:p>
    <w:p>
      <w:pPr>
        <w:spacing w:line="300" w:lineRule="auto"/>
        <w:rPr>
          <w:color w:val="auto"/>
          <w:sz w:val="28"/>
          <w:szCs w:val="28"/>
          <w:highlight w:val="none"/>
        </w:rPr>
        <w:outlineLvl w:val="0"/>
      </w:pPr>
      <w:r>
        <w:rPr>
          <w:color w:val="auto"/>
          <w:sz w:val="28"/>
          <w:szCs w:val="28"/>
          <w:highlight w:val="none"/>
        </w:rPr>
      </w:r>
      <w:r/>
    </w:p>
    <w:p>
      <w:pPr>
        <w:spacing w:line="300" w:lineRule="auto"/>
        <w:rPr>
          <w:color w:val="auto"/>
          <w:sz w:val="28"/>
          <w:szCs w:val="28"/>
          <w:highlight w:val="none"/>
        </w:rPr>
        <w:outlineLvl w:val="0"/>
      </w:pPr>
      <w:r>
        <w:rPr>
          <w:color w:val="auto"/>
          <w:sz w:val="28"/>
          <w:szCs w:val="28"/>
          <w:highlight w:val="none"/>
        </w:rPr>
      </w:r>
      <w:r/>
    </w:p>
    <w:p>
      <w:pPr>
        <w:ind w:firstLine="4237"/>
        <w:keepLines/>
        <w:keepNext/>
        <w:spacing w:before="260" w:after="260" w:line="416" w:lineRule="auto"/>
        <w:rPr>
          <w:rFonts w:hint="eastAsia" w:ascii="宋体" w:hAnsi="宋体" w:eastAsia="幼圆"/>
          <w:b/>
          <w:color w:val="auto"/>
          <w:sz w:val="30"/>
          <w:szCs w:val="30"/>
          <w:highlight w:val="none"/>
        </w:rPr>
        <w:outlineLvl w:val="1"/>
      </w:pPr>
      <w:r>
        <w:rPr>
          <w:rFonts w:hint="eastAsia" w:ascii="宋体" w:hAnsi="宋体"/>
          <w:b/>
          <w:color w:val="auto"/>
          <w:sz w:val="30"/>
          <w:szCs w:val="30"/>
          <w:highlight w:val="none"/>
        </w:rPr>
        <w:t xml:space="preserve">投标响应函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 </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560" w:lineRule="exact"/>
        <w:rPr>
          <w:rFonts w:ascii="黑体" w:hAnsi="黑体" w:eastAsia="宋体"/>
          <w:b/>
          <w:color w:val="auto"/>
          <w:sz w:val="32"/>
          <w:szCs w:val="32"/>
          <w:highlight w:val="none"/>
          <w:lang w:val="en-US" w:eastAsia="zh-CN"/>
        </w:rPr>
      </w:pPr>
      <w:r>
        <w:rPr>
          <w:rFonts w:hint="eastAsia" w:ascii="宋体" w:hAnsi="宋体"/>
          <w:bCs/>
          <w:color w:val="auto"/>
          <w:sz w:val="24"/>
          <w:szCs w:val="21"/>
          <w:highlight w:val="none"/>
        </w:rPr>
        <w:br w:type="page" w:clear="all"/>
      </w:r>
      <w:bookmarkEnd w:id="175"/>
      <w:bookmarkEnd w:id="176"/>
      <w:bookmarkEnd w:id="192"/>
      <w:r/>
    </w:p>
    <w:p>
      <w:pPr>
        <w:jc w:val="center"/>
        <w:spacing w:line="460" w:lineRule="exact"/>
        <w:rPr>
          <w:rFonts w:hint="eastAsia" w:ascii="宋体" w:hAnsi="宋体"/>
          <w:b/>
          <w:color w:val="auto"/>
          <w:sz w:val="30"/>
          <w:szCs w:val="30"/>
          <w:highlight w:val="none"/>
        </w:rPr>
      </w:pPr>
      <w:r/>
      <w:bookmarkStart w:id="194" w:name="OLE_LINK16"/>
      <w:r>
        <w:rPr>
          <w:rFonts w:hint="eastAsia" w:ascii="宋体" w:hAnsi="宋体"/>
          <w:b/>
          <w:color w:val="auto"/>
          <w:sz w:val="30"/>
          <w:szCs w:val="30"/>
          <w:highlight w:val="none"/>
        </w:rPr>
        <w:t xml:space="preserve">技术要求响应及偏离表</w:t>
      </w:r>
      <w:r/>
    </w:p>
    <w:tbl>
      <w:tblPr>
        <w:tblStyle w:val="8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按照项目需求填写，须提供相关证明材料。行数不够，可自行添加。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jc w:val="center"/>
        <w:spacing w:line="460" w:lineRule="exact"/>
        <w:rPr>
          <w:rFonts w:hint="eastAsia" w:ascii="宋体" w:hAnsi="宋体"/>
          <w:b/>
          <w:color w:val="auto"/>
          <w:sz w:val="30"/>
          <w:szCs w:val="30"/>
          <w:highlight w:val="none"/>
        </w:rPr>
      </w:pPr>
      <w:r/>
      <w:bookmarkStart w:id="195" w:name="_Hlt26955054"/>
      <w:r/>
      <w:bookmarkEnd w:id="195"/>
      <w:r>
        <w:rPr>
          <w:rFonts w:hint="eastAsia" w:ascii="宋体" w:hAnsi="宋体"/>
          <w:b/>
          <w:color w:val="auto"/>
          <w:sz w:val="30"/>
          <w:szCs w:val="30"/>
          <w:highlight w:val="none"/>
        </w:rPr>
        <w:t xml:space="preserve">商务要求响应及偏离表</w:t>
      </w:r>
      <w:r/>
    </w:p>
    <w:tbl>
      <w:tblPr>
        <w:tblStyle w:val="86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bookmarkStart w:id="196" w:name="_Hlt24879081"/>
            <w:r/>
            <w:bookmarkEnd w:id="196"/>
            <w:r/>
            <w:bookmarkStart w:id="197" w:name="_Hlt26955064"/>
            <w:r/>
            <w:bookmarkEnd w:id="197"/>
            <w:r/>
            <w:bookmarkStart w:id="198" w:name="_Hlt26782999"/>
            <w:r/>
            <w:bookmarkEnd w:id="198"/>
            <w:r/>
            <w:bookmarkStart w:id="199" w:name="_Hlt26671343"/>
            <w:r/>
            <w:bookmarkEnd w:id="199"/>
            <w:r/>
            <w:bookmarkStart w:id="200" w:name="_Hlt26671372"/>
            <w:r/>
            <w:bookmarkEnd w:id="200"/>
            <w:r/>
            <w:bookmarkStart w:id="201" w:name="_Hlt26609391"/>
            <w:r/>
            <w:bookmarkEnd w:id="201"/>
            <w:r/>
            <w:bookmarkStart w:id="202" w:name="_Hlt26955056"/>
            <w:r/>
            <w:bookmarkEnd w:id="202"/>
            <w:r/>
            <w:bookmarkStart w:id="203" w:name="_Hlt26580838"/>
            <w:r/>
            <w:bookmarkEnd w:id="203"/>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按照项目需求填写，须提供相关证明材料。行数不够，可自行添加。</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rPr>
          <w:rFonts w:hint="eastAsia" w:ascii="宋体" w:hAnsi="宋体"/>
          <w:color w:val="auto"/>
          <w:sz w:val="24"/>
          <w:szCs w:val="21"/>
          <w:highlight w:val="none"/>
        </w:rPr>
      </w:pPr>
      <w:r/>
      <w:bookmarkStart w:id="204" w:name="_Hlt26671374"/>
      <w:r/>
      <w:bookmarkEnd w:id="204"/>
      <w:r/>
      <w:bookmarkStart w:id="205" w:name="_Hlt26609389"/>
      <w:r/>
      <w:bookmarkEnd w:id="205"/>
      <w:r/>
      <w:bookmarkStart w:id="206" w:name="_Hlt26955066"/>
      <w:r/>
      <w:bookmarkEnd w:id="206"/>
      <w:r/>
      <w:bookmarkStart w:id="207" w:name="_Toc462564146"/>
      <w:r/>
      <w:bookmarkEnd w:id="207"/>
      <w:r/>
    </w:p>
    <w:p>
      <w:pPr>
        <w:jc w:val="center"/>
        <w:rPr>
          <w:rFonts w:hint="eastAsia" w:ascii="黑体" w:hAnsi="黑体" w:eastAsia="黑体"/>
          <w:b/>
          <w:color w:val="auto"/>
          <w:sz w:val="32"/>
          <w:szCs w:val="32"/>
          <w:highlight w:val="none"/>
        </w:rPr>
      </w:pPr>
      <w:r/>
      <w:bookmarkStart w:id="208" w:name="_格式2__法定代表人授权书"/>
      <w:r/>
      <w:bookmarkEnd w:id="208"/>
      <w:r/>
      <w:bookmarkEnd w:id="194"/>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color w:val="auto"/>
          <w:sz w:val="32"/>
          <w:szCs w:val="32"/>
          <w:highlight w:val="none"/>
        </w:rPr>
        <w:br w:type="page" w:clear="all"/>
      </w:r>
      <w:r>
        <w:rPr>
          <w:color w:val="auto"/>
          <w:highlight w:val="none"/>
        </w:rPr>
        <mc:AlternateContent>
          <mc:Choice Requires="wpg">
            <w:drawing>
              <wp:inline xmlns:wp="http://schemas.openxmlformats.org/drawingml/2006/wordprocessingDrawing" distT="0" distB="0" distL="0" distR="0">
                <wp:extent cx="5683250" cy="677799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683250" cy="6777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47.5pt;height:533.7pt;mso-wrap-distance-left:0.0pt;mso-wrap-distance-top:0.0pt;mso-wrap-distance-right:0.0pt;mso-wrap-distance-bottom:0.0pt;" stroked="f">
                <v:path textboxrect="0,0,0,0"/>
                <v:imagedata r:id="rId21" o:title=""/>
              </v:shape>
            </w:pict>
          </mc:Fallback>
        </mc:AlternateContent>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tabs>
          <w:tab w:val="left" w:pos="1464" w:leader="none"/>
        </w:tabs>
        <w:rPr>
          <w:rFonts w:hint="eastAsia" w:ascii="宋体" w:hAnsi="宋体"/>
          <w:color w:val="auto"/>
          <w:sz w:val="30"/>
          <w:szCs w:val="30"/>
          <w:highlight w:val="none"/>
        </w:rPr>
      </w:pPr>
      <w:r>
        <w:rPr>
          <w:rFonts w:hint="eastAsia" w:ascii="宋体" w:hAnsi="宋体"/>
          <w:color w:val="auto"/>
          <w:sz w:val="30"/>
          <w:szCs w:val="30"/>
          <w:highlight w:val="none"/>
        </w:rPr>
        <w:tab/>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rPr>
          <w:rFonts w:hint="eastAsia" w:ascii="宋体" w:hAnsi="宋体"/>
          <w:color w:val="auto"/>
          <w:sz w:val="30"/>
          <w:szCs w:val="30"/>
          <w:highlight w:val="none"/>
        </w:rPr>
      </w:pPr>
      <w:r>
        <w:rPr>
          <w:rFonts w:hint="eastAsia" w:ascii="宋体" w:hAnsi="宋体"/>
          <w:color w:val="auto"/>
          <w:sz w:val="30"/>
          <w:szCs w:val="30"/>
          <w:highlight w:val="none"/>
        </w:rPr>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br w:type="column"/>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460" w:lineRule="exact"/>
        <w:rPr>
          <w:rFonts w:hint="eastAsia" w:ascii="宋体" w:hAnsi="宋体"/>
          <w:b/>
          <w:color w:val="auto"/>
          <w:sz w:val="30"/>
          <w:szCs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-24129</wp:posOffset>
                </wp:positionH>
                <wp:positionV relativeFrom="paragraph">
                  <wp:posOffset>92075</wp:posOffset>
                </wp:positionV>
                <wp:extent cx="5680075" cy="2860675"/>
                <wp:effectExtent l="0" t="0" r="0" b="0"/>
                <wp:wrapSquare wrapText="bothSides"/>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680075" cy="28606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1.9pt;mso-position-horizontal:absolute;mso-position-vertical-relative:text;margin-top:7.2pt;mso-position-vertical:absolute;width:447.2pt;height:225.2pt;mso-wrap-distance-left:9.0pt;mso-wrap-distance-top:0.0pt;mso-wrap-distance-right:9.0pt;mso-wrap-distance-bottom:0.0pt;" stroked="f">
                <v:path textboxrect="0,0,0,0"/>
                <w10:wrap type="square"/>
                <v:imagedata r:id="rId22" o:title=""/>
              </v:shape>
            </w:pict>
          </mc:Fallback>
        </mc:AlternateContent>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460" w:lineRule="exact"/>
        <w:rPr>
          <w:rFonts w:hint="eastAsia" w:ascii="宋体" w:hAnsi="宋体"/>
          <w:b/>
          <w:color w:val="auto"/>
          <w:sz w:val="30"/>
          <w:szCs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60960</wp:posOffset>
                </wp:positionH>
                <wp:positionV relativeFrom="paragraph">
                  <wp:posOffset>34290</wp:posOffset>
                </wp:positionV>
                <wp:extent cx="5680075" cy="3255645"/>
                <wp:effectExtent l="0" t="0" r="0" b="0"/>
                <wp:wrapSquare wrapText="bothSides"/>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680075" cy="325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4.8pt;mso-position-horizontal:absolute;mso-position-vertical-relative:text;margin-top:2.7pt;mso-position-vertical:absolute;width:447.2pt;height:256.3pt;mso-wrap-distance-left:9.0pt;mso-wrap-distance-top:0.0pt;mso-wrap-distance-right:9.0pt;mso-wrap-distance-bottom:0.0pt;" stroked="f">
                <v:path textboxrect="0,0,0,0"/>
                <w10:wrap type="square"/>
                <v:imagedata r:id="rId23" o:title=""/>
              </v:shape>
            </w:pict>
          </mc:Fallback>
        </mc:AlternateContent>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460" w:lineRule="exact"/>
        <w:rPr>
          <w:rFonts w:hint="eastAsia" w:ascii="宋体" w:hAnsi="宋体"/>
          <w:b/>
          <w:color w:val="auto"/>
          <w:sz w:val="30"/>
          <w:szCs w:val="30"/>
          <w:highlight w:val="none"/>
        </w:rPr>
      </w:pPr>
      <w:r>
        <w:rPr>
          <w:rFonts w:hint="eastAsia" w:ascii="宋体" w:hAnsi="宋体"/>
          <w:b/>
          <w:color w:val="auto"/>
          <w:sz w:val="30"/>
          <w:szCs w:val="30"/>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3.质疑供应商若对项目的某一分包进行质疑，质疑函中应列明具体标段。</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highlight w:val="none"/>
        </w:rPr>
      </w:pPr>
      <w:r>
        <w:rPr>
          <w:rFonts w:hint="eastAsia"/>
          <w:color w:val="auto"/>
          <w:sz w:val="24"/>
          <w:szCs w:val="24"/>
          <w:highlight w:val="none"/>
        </w:rPr>
      </w:r>
      <w:r/>
    </w:p>
    <w:p>
      <w:pPr>
        <w:ind w:firstLine="420"/>
        <w:rPr>
          <w:color w:val="auto"/>
          <w:sz w:val="24"/>
          <w:szCs w:val="24"/>
          <w:highlight w:val="none"/>
        </w:rPr>
      </w:pPr>
      <w:r>
        <w:rPr>
          <w:color w:val="auto"/>
          <w:sz w:val="24"/>
          <w:szCs w:val="24"/>
          <w:highlight w:val="none"/>
        </w:rPr>
      </w:r>
      <w:r/>
    </w:p>
    <w:p>
      <w:pPr>
        <w:ind w:firstLine="160"/>
        <w:rPr>
          <w:rFonts w:ascii="仿宋_GB2312" w:hAnsi="Calibri" w:eastAsia="仿宋_GB2312"/>
          <w:color w:val="auto"/>
          <w:sz w:val="32"/>
          <w:highlight w:val="none"/>
        </w:rPr>
      </w:pPr>
      <w:r>
        <w:rPr>
          <w:rFonts w:hint="eastAsia" w:ascii="仿宋_GB2312" w:hAnsi="Calibri" w:eastAsia="仿宋_GB2312"/>
          <w:color w:val="auto"/>
          <w:sz w:val="32"/>
          <w:highlight w:val="none"/>
        </w:rPr>
        <w:t xml:space="preserve">附件：</w:t>
      </w:r>
      <w:r/>
    </w:p>
    <w:p>
      <w:pPr>
        <w:ind w:firstLine="240"/>
        <w:jc w:val="cente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办理政采贷和</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）告知函</w:t>
      </w:r>
      <w:r/>
    </w:p>
    <w:p>
      <w:pPr>
        <w:ind w:firstLine="240"/>
        <w:spacing w:line="360" w:lineRule="auto"/>
        <w:rPr>
          <w:rFonts w:ascii="宋体" w:hAnsi="宋体" w:cs="宋体"/>
          <w:color w:val="auto"/>
          <w:sz w:val="24"/>
          <w:szCs w:val="21"/>
          <w:highlight w:val="none"/>
        </w:rPr>
      </w:pPr>
      <w:r>
        <w:rPr>
          <w:rFonts w:ascii="宋体" w:hAnsi="宋体" w:cs="宋体"/>
          <w:color w:val="auto"/>
          <w:sz w:val="24"/>
          <w:szCs w:val="21"/>
          <w:highlight w:val="none"/>
        </w:rPr>
      </w:r>
      <w:r/>
    </w:p>
    <w:p>
      <w:pPr>
        <w:ind w:firstLine="24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各政府采购供应商：</w:t>
      </w:r>
      <w:r/>
    </w:p>
    <w:p>
      <w:pPr>
        <w:ind w:firstLine="24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欢迎贵公司参与南通市政府采购活动！</w:t>
      </w:r>
      <w:r/>
    </w:p>
    <w:p>
      <w:pPr>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政府采购线上合同信用融资和</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）是支持企业发展，针对参与政府采购活动的企业融资难、现金流不足等问题推出的一项服务举措。</w:t>
      </w:r>
      <w:r/>
    </w:p>
    <w:p>
      <w:pPr>
        <w:ind w:firstLine="480"/>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贵公司若成为本次政府采购项目的中标（成交）供应商，可自愿选择</w:t>
      </w:r>
      <w:r>
        <w:rPr>
          <w:rFonts w:ascii="宋体" w:hAnsi="宋体" w:cs="宋体"/>
          <w:color w:val="auto"/>
          <w:sz w:val="24"/>
          <w:szCs w:val="21"/>
          <w:highlight w:val="none"/>
        </w:rPr>
        <w:t xml:space="preserve">履</w:t>
      </w:r>
      <w:r>
        <w:rPr>
          <w:rFonts w:hint="eastAsia" w:ascii="宋体" w:hAnsi="宋体" w:cs="宋体"/>
          <w:color w:val="auto"/>
          <w:sz w:val="24"/>
          <w:szCs w:val="21"/>
          <w:highlight w:val="none"/>
        </w:rPr>
        <w:t xml:space="preserve">约保函（</w:t>
      </w:r>
      <w:r>
        <w:rPr>
          <w:rFonts w:ascii="宋体" w:hAnsi="宋体" w:cs="宋体"/>
          <w:color w:val="auto"/>
          <w:sz w:val="24"/>
          <w:szCs w:val="21"/>
          <w:highlight w:val="none"/>
        </w:rPr>
        <w:t xml:space="preserve">保险</w:t>
      </w:r>
      <w:r>
        <w:rPr>
          <w:rFonts w:hint="eastAsia" w:ascii="宋体" w:hAnsi="宋体" w:cs="宋体"/>
          <w:color w:val="auto"/>
          <w:sz w:val="24"/>
          <w:szCs w:val="21"/>
          <w:highlight w:val="none"/>
        </w:rPr>
        <w:t xml:space="preserve">）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240"/>
        <w:spacing w:line="360" w:lineRule="auto"/>
        <w:rPr>
          <w:rFonts w:ascii="宋体" w:hAnsi="宋体" w:cs="宋体"/>
          <w:color w:val="auto"/>
          <w:sz w:val="24"/>
          <w:szCs w:val="21"/>
          <w:highlight w:val="none"/>
        </w:rPr>
      </w:pPr>
      <w:r>
        <w:rPr>
          <w:rFonts w:ascii="宋体" w:hAnsi="宋体" w:cs="宋体"/>
          <w:color w:val="auto"/>
          <w:sz w:val="24"/>
          <w:szCs w:val="21"/>
          <w:highlight w:val="none"/>
        </w:rPr>
      </w:r>
      <w:r/>
    </w:p>
    <w:p>
      <w:pPr>
        <w:spacing w:line="460" w:lineRule="exact"/>
        <w:rPr>
          <w:rFonts w:ascii="宋体" w:hAnsi="宋体"/>
          <w:b/>
          <w:color w:val="auto"/>
          <w:sz w:val="30"/>
          <w:szCs w:val="30"/>
          <w:highlight w:val="none"/>
        </w:rPr>
      </w:pPr>
      <w:r>
        <w:rPr>
          <w:rFonts w:ascii="宋体" w:hAnsi="宋体"/>
          <w:b/>
          <w:color w:val="auto"/>
          <w:sz w:val="30"/>
          <w:szCs w:val="30"/>
          <w:highlight w:val="none"/>
        </w:rPr>
      </w:r>
      <w:r/>
    </w:p>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华文新魏">
    <w:panose1 w:val="02010800040101010101"/>
  </w:font>
  <w:font w:name="Showcard Gothic">
    <w:panose1 w:val="040209040201020206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rPr>
                              <w:rStyle w:val="1109"/>
                              <w:rFonts w:ascii="宋体" w:hAnsi="宋体"/>
                            </w:rPr>
                          </w:pPr>
                          <w:r>
                            <w:rPr>
                              <w:rFonts w:ascii="宋体" w:hAnsi="宋体"/>
                            </w:rPr>
                            <w:fldChar w:fldCharType="begin"/>
                          </w:r>
                          <w:r>
                            <w:rPr>
                              <w:rStyle w:val="1109"/>
                              <w:rFonts w:ascii="宋体" w:hAnsi="宋体"/>
                            </w:rPr>
                            <w:instrText xml:space="preserve">PAGE  </w:instrText>
                          </w:r>
                          <w:r>
                            <w:rPr>
                              <w:rFonts w:ascii="宋体" w:hAnsi="宋体"/>
                            </w:rPr>
                            <w:fldChar w:fldCharType="separate"/>
                          </w:r>
                          <w:r>
                            <w:rPr>
                              <w:rStyle w:val="1109"/>
                              <w:rFonts w:ascii="宋体" w:hAnsi="宋体"/>
                            </w:rPr>
                            <w:t xml:space="preserve">４２</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rPr>
                        <w:rStyle w:val="1109"/>
                        <w:rFonts w:ascii="宋体" w:hAnsi="宋体"/>
                      </w:rPr>
                    </w:pPr>
                    <w:r>
                      <w:rPr>
                        <w:rFonts w:ascii="宋体" w:hAnsi="宋体"/>
                      </w:rPr>
                      <w:fldChar w:fldCharType="begin"/>
                    </w:r>
                    <w:r>
                      <w:rPr>
                        <w:rStyle w:val="1109"/>
                        <w:rFonts w:ascii="宋体" w:hAnsi="宋体"/>
                      </w:rPr>
                      <w:instrText xml:space="preserve">PAGE  </w:instrText>
                    </w:r>
                    <w:r>
                      <w:rPr>
                        <w:rFonts w:ascii="宋体" w:hAnsi="宋体"/>
                      </w:rPr>
                      <w:fldChar w:fldCharType="separate"/>
                    </w:r>
                    <w:r>
                      <w:rPr>
                        <w:rStyle w:val="1109"/>
                        <w:rFonts w:ascii="宋体" w:hAnsi="宋体"/>
                      </w:rPr>
                      <w:t xml:space="preserve">４２</w:t>
                    </w:r>
                    <w:r>
                      <w:rPr>
                        <w:rFonts w:ascii="宋体" w:hAnsi="宋体"/>
                      </w:rPr>
                      <w:fldChar w:fldCharType="end"/>
                    </w:r>
                    <w:r/>
                  </w:p>
                  <w:p>
                    <w:r/>
                    <w:r/>
                  </w:p>
                </w:txbxContent>
              </v:textbox>
            </v:shape>
          </w:pict>
        </mc:Fallback>
      </mc:AlternateContent>
    </w:r>
    <w:r>
      <w:rPr>
        <w:b/>
        <w:i/>
        <w:sz w:val="20"/>
      </w:rPr>
      <w:t xml:space="preserve"> </w:t>
    </w:r>
    <w:r/>
  </w:p>
  <w:p>
    <w:pP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Style w:val="1109"/>
      </w:rPr>
      <w:framePr w:wrap="around" w:vAnchor="text" w:hAnchor="margin" w:xAlign="center" w:y="1"/>
    </w:pPr>
    <w:r>
      <w:fldChar w:fldCharType="begin"/>
    </w:r>
    <w:r>
      <w:rPr>
        <w:rStyle w:val="1109"/>
      </w:rPr>
      <w:instrText xml:space="preserve">PAGE  </w:instrText>
    </w:r>
    <w:r>
      <w:fldChar w:fldCharType="separate"/>
    </w:r>
    <w:r>
      <w:rPr>
        <w:rStyle w:val="1109"/>
      </w:rPr>
      <w:t xml:space="preserve">1</w:t>
    </w:r>
    <w:r>
      <w:fldChar w:fldCharType="end"/>
    </w:r>
    <w:r/>
  </w:p>
  <w:p>
    <w:pPr>
      <w:pStyle w:val="1084"/>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5"/>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b/>
        <w:i/>
        <w:sz w:val="20"/>
      </w:rPr>
      <w:t xml:space="preserve"> </w:t>
    </w:r>
    <w:r/>
  </w:p>
  <w:p>
    <w:pPr>
      <w:rPr>
        <w:rFonts w:hint="eastAsia"/>
        <w:b/>
        <w:i/>
      </w:rPr>
    </w:pPr>
    <w:r>
      <w:rPr>
        <w:rFonts w:hint="eastAsia"/>
        <w:b/>
        <w:i/>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154"/>
      <w:isLgl w:val="false"/>
      <w:suff w:val="space"/>
      <w:lvlText w:val=""/>
      <w:lvlJc w:val="left"/>
      <w:pPr>
        <w:ind w:left="780" w:hanging="360"/>
        <w:tabs>
          <w:tab w:val="left" w:pos="780" w:leader="none"/>
        </w:tabs>
      </w:pPr>
      <w:rPr>
        <w:rFonts w:ascii="Wingdings" w:hAnsi="Wingdings"/>
      </w:r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1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4"/>
      <w:isLgl w:val="false"/>
      <w:suff w:val="nothing"/>
      <w:lvlText w:val=""/>
      <w:lvlJc w:val="left"/>
      <w:pPr>
        <w:ind w:left="0" w:firstLine="0"/>
      </w:pPr>
      <w:rPr>
        <w:rFonts w:hint="eastAsia"/>
      </w:rPr>
    </w:lvl>
    <w:lvl w:ilvl="6">
      <w:start w:val="1"/>
      <w:numFmt w:val="decimal"/>
      <w:pStyle w:val="1045"/>
      <w:isLgl w:val="false"/>
      <w:suff w:val="nothing"/>
      <w:lvlText w:val=""/>
      <w:lvlJc w:val="left"/>
      <w:pPr>
        <w:ind w:left="0" w:firstLine="0"/>
      </w:pPr>
      <w:rPr>
        <w:rFonts w:hint="eastAsia"/>
      </w:rPr>
    </w:lvl>
    <w:lvl w:ilvl="7">
      <w:start w:val="1"/>
      <w:numFmt w:val="decimal"/>
      <w:pStyle w:val="1046"/>
      <w:isLgl w:val="false"/>
      <w:suff w:val="nothing"/>
      <w:lvlText w:val=""/>
      <w:lvlJc w:val="left"/>
      <w:pPr>
        <w:ind w:left="0" w:firstLine="0"/>
      </w:pPr>
      <w:rPr>
        <w:rFonts w:hint="eastAsia"/>
      </w:rPr>
    </w:lvl>
    <w:lvl w:ilvl="8">
      <w:start w:val="1"/>
      <w:numFmt w:val="decimal"/>
      <w:pStyle w:val="1047"/>
      <w:isLgl w:val="false"/>
      <w:suff w:val="nothing"/>
      <w:lvlText w:val=""/>
      <w:lvlJc w:val="left"/>
      <w:pPr>
        <w:ind w:left="0" w:firstLine="0"/>
      </w:pPr>
      <w:rPr>
        <w:rFonts w:hint="eastAsia"/>
      </w:rPr>
    </w:lvl>
  </w:abstractNum>
  <w:abstractNum w:abstractNumId="5">
    <w:multiLevelType w:val="hybridMultilevel"/>
    <w:lvl w:ilvl="0">
      <w:start w:val="1"/>
      <w:numFmt w:val="decimal"/>
      <w:pStyle w:val="11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2" w:default="1">
    <w:name w:val="Normal"/>
    <w:next w:val="864"/>
    <w:link w:val="11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3">
    <w:name w:val="Heading 1"/>
    <w:basedOn w:val="852"/>
    <w:next w:val="852"/>
    <w:link w:val="890"/>
    <w:uiPriority w:val="9"/>
    <w:qFormat/>
    <w:pPr>
      <w:keepLines/>
      <w:keepNext/>
      <w:spacing w:before="480" w:after="200"/>
      <w:outlineLvl w:val="0"/>
    </w:pPr>
    <w:rPr>
      <w:rFonts w:ascii="Arial" w:hAnsi="Arial" w:eastAsia="Arial" w:cs="Arial"/>
      <w:sz w:val="40"/>
      <w:szCs w:val="40"/>
    </w:rPr>
  </w:style>
  <w:style w:type="paragraph" w:styleId="854">
    <w:name w:val="Heading 2"/>
    <w:basedOn w:val="852"/>
    <w:next w:val="852"/>
    <w:link w:val="891"/>
    <w:uiPriority w:val="9"/>
    <w:unhideWhenUsed/>
    <w:qFormat/>
    <w:pPr>
      <w:keepLines/>
      <w:keepNext/>
      <w:spacing w:before="360" w:after="200"/>
      <w:outlineLvl w:val="1"/>
    </w:pPr>
    <w:rPr>
      <w:rFonts w:ascii="Arial" w:hAnsi="Arial" w:eastAsia="Arial" w:cs="Arial"/>
      <w:sz w:val="34"/>
    </w:rPr>
  </w:style>
  <w:style w:type="paragraph" w:styleId="855">
    <w:name w:val="Heading 3"/>
    <w:basedOn w:val="852"/>
    <w:next w:val="852"/>
    <w:link w:val="892"/>
    <w:uiPriority w:val="9"/>
    <w:unhideWhenUsed/>
    <w:qFormat/>
    <w:pPr>
      <w:keepLines/>
      <w:keepNext/>
      <w:spacing w:before="320" w:after="200"/>
      <w:outlineLvl w:val="2"/>
    </w:pPr>
    <w:rPr>
      <w:rFonts w:ascii="Arial" w:hAnsi="Arial" w:eastAsia="Arial" w:cs="Arial"/>
      <w:sz w:val="30"/>
      <w:szCs w:val="30"/>
    </w:rPr>
  </w:style>
  <w:style w:type="paragraph" w:styleId="856">
    <w:name w:val="Heading 4"/>
    <w:basedOn w:val="852"/>
    <w:next w:val="852"/>
    <w:link w:val="893"/>
    <w:uiPriority w:val="9"/>
    <w:unhideWhenUsed/>
    <w:qFormat/>
    <w:pPr>
      <w:keepLines/>
      <w:keepNext/>
      <w:spacing w:before="320" w:after="200"/>
      <w:outlineLvl w:val="3"/>
    </w:pPr>
    <w:rPr>
      <w:rFonts w:ascii="Arial" w:hAnsi="Arial" w:eastAsia="Arial" w:cs="Arial"/>
      <w:b/>
      <w:bCs/>
      <w:sz w:val="26"/>
      <w:szCs w:val="26"/>
    </w:rPr>
  </w:style>
  <w:style w:type="paragraph" w:styleId="857">
    <w:name w:val="Heading 5"/>
    <w:basedOn w:val="852"/>
    <w:next w:val="852"/>
    <w:link w:val="894"/>
    <w:uiPriority w:val="9"/>
    <w:unhideWhenUsed/>
    <w:qFormat/>
    <w:pPr>
      <w:keepLines/>
      <w:keepNext/>
      <w:spacing w:before="320" w:after="200"/>
      <w:outlineLvl w:val="4"/>
    </w:pPr>
    <w:rPr>
      <w:rFonts w:ascii="Arial" w:hAnsi="Arial" w:eastAsia="Arial" w:cs="Arial"/>
      <w:b/>
      <w:bCs/>
      <w:sz w:val="24"/>
      <w:szCs w:val="24"/>
    </w:rPr>
  </w:style>
  <w:style w:type="paragraph" w:styleId="858">
    <w:name w:val="Heading 6"/>
    <w:basedOn w:val="852"/>
    <w:next w:val="852"/>
    <w:link w:val="895"/>
    <w:uiPriority w:val="9"/>
    <w:unhideWhenUsed/>
    <w:qFormat/>
    <w:pPr>
      <w:keepLines/>
      <w:keepNext/>
      <w:spacing w:before="320" w:after="200"/>
      <w:outlineLvl w:val="5"/>
    </w:pPr>
    <w:rPr>
      <w:rFonts w:ascii="Arial" w:hAnsi="Arial" w:eastAsia="Arial" w:cs="Arial"/>
      <w:b/>
      <w:bCs/>
      <w:sz w:val="22"/>
      <w:szCs w:val="22"/>
    </w:rPr>
  </w:style>
  <w:style w:type="paragraph" w:styleId="859">
    <w:name w:val="Heading 7"/>
    <w:basedOn w:val="852"/>
    <w:next w:val="852"/>
    <w:link w:val="896"/>
    <w:uiPriority w:val="9"/>
    <w:unhideWhenUsed/>
    <w:qFormat/>
    <w:pPr>
      <w:keepLines/>
      <w:keepNext/>
      <w:spacing w:before="320" w:after="200"/>
      <w:outlineLvl w:val="6"/>
    </w:pPr>
    <w:rPr>
      <w:rFonts w:ascii="Arial" w:hAnsi="Arial" w:eastAsia="Arial" w:cs="Arial"/>
      <w:b/>
      <w:bCs/>
      <w:i/>
      <w:iCs/>
      <w:sz w:val="22"/>
      <w:szCs w:val="22"/>
    </w:rPr>
  </w:style>
  <w:style w:type="paragraph" w:styleId="860">
    <w:name w:val="Heading 8"/>
    <w:basedOn w:val="852"/>
    <w:next w:val="852"/>
    <w:link w:val="897"/>
    <w:uiPriority w:val="9"/>
    <w:unhideWhenUsed/>
    <w:qFormat/>
    <w:pPr>
      <w:keepLines/>
      <w:keepNext/>
      <w:spacing w:before="320" w:after="200"/>
      <w:outlineLvl w:val="7"/>
    </w:pPr>
    <w:rPr>
      <w:rFonts w:ascii="Arial" w:hAnsi="Arial" w:eastAsia="Arial" w:cs="Arial"/>
      <w:i/>
      <w:iCs/>
      <w:sz w:val="22"/>
      <w:szCs w:val="22"/>
    </w:rPr>
  </w:style>
  <w:style w:type="paragraph" w:styleId="861">
    <w:name w:val="Heading 9"/>
    <w:basedOn w:val="852"/>
    <w:next w:val="852"/>
    <w:link w:val="898"/>
    <w:uiPriority w:val="9"/>
    <w:unhideWhenUsed/>
    <w:qFormat/>
    <w:pPr>
      <w:keepLines/>
      <w:keepNext/>
      <w:spacing w:before="320" w:after="200"/>
      <w:outlineLvl w:val="8"/>
    </w:pPr>
    <w:rPr>
      <w:rFonts w:ascii="Arial" w:hAnsi="Arial" w:eastAsia="Arial" w:cs="Arial"/>
      <w:i/>
      <w:iCs/>
      <w:sz w:val="21"/>
      <w:szCs w:val="21"/>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customStyle="1">
    <w:name w:val="正文文本1"/>
    <w:basedOn w:val="865"/>
    <w:next w:val="852"/>
    <w:uiPriority w:val="0"/>
    <w:qFormat/>
    <w:rPr>
      <w:rFonts w:ascii="仿宋_GB2312" w:eastAsia="仿宋_GB2312"/>
      <w:sz w:val="24"/>
      <w:szCs w:val="20"/>
    </w:rPr>
  </w:style>
  <w:style w:type="paragraph" w:styleId="865" w:customStyle="1">
    <w:name w:val="正文11"/>
    <w:next w:val="864"/>
    <w:uiPriority w:val="0"/>
    <w:qFormat/>
    <w:pPr>
      <w:jc w:val="both"/>
      <w:widowControl w:val="off"/>
    </w:pPr>
    <w:rPr>
      <w:rFonts w:hint="default" w:ascii="Calibri" w:hAnsi="Calibri" w:eastAsia="宋体" w:cs="Times New Roman"/>
      <w:sz w:val="21"/>
      <w:szCs w:val="21"/>
      <w:lang w:val="en-US" w:eastAsia="zh-CN" w:bidi="ar-SA"/>
    </w:rPr>
  </w:style>
  <w:style w:type="paragraph" w:styleId="866">
    <w:name w:val="toc 7"/>
    <w:basedOn w:val="852"/>
    <w:next w:val="852"/>
    <w:uiPriority w:val="39"/>
    <w:unhideWhenUsed/>
    <w:qFormat/>
    <w:pPr>
      <w:ind w:left="1701" w:right="0" w:firstLine="0"/>
      <w:spacing w:after="57"/>
    </w:pPr>
  </w:style>
  <w:style w:type="paragraph" w:styleId="867">
    <w:name w:val="Caption"/>
    <w:basedOn w:val="852"/>
    <w:next w:val="852"/>
    <w:uiPriority w:val="35"/>
    <w:semiHidden/>
    <w:unhideWhenUsed/>
    <w:qFormat/>
    <w:pPr>
      <w:spacing w:line="276" w:lineRule="auto"/>
    </w:pPr>
    <w:rPr>
      <w:b/>
      <w:bCs/>
      <w:color w:val="4f81bd" w:themeColor="accent1"/>
      <w:sz w:val="18"/>
      <w:szCs w:val="18"/>
    </w:rPr>
  </w:style>
  <w:style w:type="paragraph" w:styleId="868">
    <w:name w:val="Body Text Indent"/>
    <w:basedOn w:val="852"/>
    <w:next w:val="869"/>
    <w:uiPriority w:val="0"/>
    <w:qFormat/>
    <w:pPr>
      <w:ind w:firstLine="645"/>
    </w:pPr>
    <w:rPr>
      <w:rFonts w:ascii="楷体_GB2312" w:eastAsia="楷体_GB2312"/>
      <w:sz w:val="32"/>
      <w:szCs w:val="32"/>
    </w:rPr>
  </w:style>
  <w:style w:type="paragraph" w:styleId="869">
    <w:name w:val="Body Text First Indent 2"/>
    <w:basedOn w:val="868"/>
    <w:uiPriority w:val="0"/>
    <w:qFormat/>
    <w:pPr>
      <w:ind w:firstLine="420"/>
      <w:spacing w:line="360" w:lineRule="auto"/>
    </w:pPr>
    <w:rPr>
      <w:rFonts w:ascii="宋体" w:hAnsi="宋体" w:eastAsia="宋体"/>
      <w:szCs w:val="20"/>
    </w:rPr>
  </w:style>
  <w:style w:type="paragraph" w:styleId="870">
    <w:name w:val="toc 5"/>
    <w:basedOn w:val="852"/>
    <w:next w:val="852"/>
    <w:uiPriority w:val="39"/>
    <w:unhideWhenUsed/>
    <w:qFormat/>
    <w:pPr>
      <w:ind w:left="1134" w:right="0" w:firstLine="0"/>
      <w:spacing w:after="57"/>
    </w:pPr>
  </w:style>
  <w:style w:type="paragraph" w:styleId="871">
    <w:name w:val="toc 3"/>
    <w:basedOn w:val="852"/>
    <w:next w:val="852"/>
    <w:uiPriority w:val="39"/>
    <w:unhideWhenUsed/>
    <w:qFormat/>
    <w:pPr>
      <w:ind w:left="567" w:right="0" w:firstLine="0"/>
      <w:spacing w:after="57"/>
    </w:pPr>
  </w:style>
  <w:style w:type="paragraph" w:styleId="872">
    <w:name w:val="Plain Text"/>
    <w:basedOn w:val="852"/>
    <w:uiPriority w:val="0"/>
    <w:qFormat/>
    <w:rPr>
      <w:rFonts w:ascii="宋体" w:hAnsi="Courier New"/>
      <w:sz w:val="20"/>
    </w:rPr>
  </w:style>
  <w:style w:type="paragraph" w:styleId="873">
    <w:name w:val="toc 8"/>
    <w:basedOn w:val="852"/>
    <w:next w:val="852"/>
    <w:uiPriority w:val="39"/>
    <w:unhideWhenUsed/>
    <w:qFormat/>
    <w:pPr>
      <w:ind w:left="1984" w:right="0" w:firstLine="0"/>
      <w:spacing w:after="57"/>
    </w:pPr>
  </w:style>
  <w:style w:type="paragraph" w:styleId="874">
    <w:name w:val="endnote text"/>
    <w:basedOn w:val="852"/>
    <w:link w:val="1036"/>
    <w:uiPriority w:val="99"/>
    <w:semiHidden/>
    <w:unhideWhenUsed/>
    <w:qFormat/>
    <w:pPr>
      <w:spacing w:after="0" w:line="240" w:lineRule="auto"/>
    </w:pPr>
    <w:rPr>
      <w:sz w:val="20"/>
    </w:rPr>
  </w:style>
  <w:style w:type="paragraph" w:styleId="875">
    <w:name w:val="Footer"/>
    <w:basedOn w:val="852"/>
    <w:link w:val="909"/>
    <w:uiPriority w:val="99"/>
    <w:unhideWhenUsed/>
    <w:qFormat/>
    <w:pPr>
      <w:spacing w:after="0" w:line="240" w:lineRule="auto"/>
      <w:tabs>
        <w:tab w:val="center" w:pos="7143" w:leader="none"/>
        <w:tab w:val="right" w:pos="14287" w:leader="none"/>
      </w:tabs>
    </w:pPr>
  </w:style>
  <w:style w:type="paragraph" w:styleId="876">
    <w:name w:val="Header"/>
    <w:basedOn w:val="852"/>
    <w:link w:val="907"/>
    <w:uiPriority w:val="99"/>
    <w:unhideWhenUsed/>
    <w:qFormat/>
    <w:pPr>
      <w:spacing w:after="0" w:line="240" w:lineRule="auto"/>
      <w:tabs>
        <w:tab w:val="center" w:pos="7143" w:leader="none"/>
        <w:tab w:val="right" w:pos="14287" w:leader="none"/>
      </w:tabs>
    </w:pPr>
  </w:style>
  <w:style w:type="paragraph" w:styleId="877">
    <w:name w:val="toc 1"/>
    <w:basedOn w:val="852"/>
    <w:next w:val="852"/>
    <w:uiPriority w:val="39"/>
    <w:unhideWhenUsed/>
    <w:qFormat/>
    <w:pPr>
      <w:ind w:left="0" w:right="0" w:firstLine="0"/>
      <w:spacing w:after="57"/>
    </w:pPr>
  </w:style>
  <w:style w:type="paragraph" w:styleId="878">
    <w:name w:val="toc 4"/>
    <w:basedOn w:val="852"/>
    <w:next w:val="852"/>
    <w:uiPriority w:val="39"/>
    <w:unhideWhenUsed/>
    <w:qFormat/>
    <w:pPr>
      <w:ind w:left="850" w:right="0" w:firstLine="0"/>
      <w:spacing w:after="57"/>
    </w:pPr>
  </w:style>
  <w:style w:type="paragraph" w:styleId="879">
    <w:name w:val="Subtitle"/>
    <w:basedOn w:val="852"/>
    <w:next w:val="852"/>
    <w:link w:val="902"/>
    <w:uiPriority w:val="11"/>
    <w:qFormat/>
    <w:pPr>
      <w:spacing w:before="200" w:after="200"/>
    </w:pPr>
    <w:rPr>
      <w:sz w:val="24"/>
      <w:szCs w:val="24"/>
    </w:rPr>
  </w:style>
  <w:style w:type="paragraph" w:styleId="880">
    <w:name w:val="footnote text"/>
    <w:basedOn w:val="852"/>
    <w:link w:val="1035"/>
    <w:uiPriority w:val="99"/>
    <w:semiHidden/>
    <w:unhideWhenUsed/>
    <w:qFormat/>
    <w:pPr>
      <w:spacing w:after="40" w:line="240" w:lineRule="auto"/>
    </w:pPr>
    <w:rPr>
      <w:sz w:val="18"/>
    </w:rPr>
  </w:style>
  <w:style w:type="paragraph" w:styleId="881">
    <w:name w:val="toc 6"/>
    <w:basedOn w:val="852"/>
    <w:next w:val="852"/>
    <w:uiPriority w:val="39"/>
    <w:unhideWhenUsed/>
    <w:qFormat/>
    <w:pPr>
      <w:ind w:left="1417" w:right="0" w:firstLine="0"/>
      <w:spacing w:after="57"/>
    </w:pPr>
  </w:style>
  <w:style w:type="paragraph" w:styleId="882">
    <w:name w:val="table of figures"/>
    <w:basedOn w:val="852"/>
    <w:next w:val="852"/>
    <w:uiPriority w:val="99"/>
    <w:unhideWhenUsed/>
    <w:qFormat/>
    <w:pPr>
      <w:spacing w:after="0" w:afterAutospacing="0"/>
    </w:pPr>
  </w:style>
  <w:style w:type="paragraph" w:styleId="883">
    <w:name w:val="toc 2"/>
    <w:basedOn w:val="852"/>
    <w:next w:val="852"/>
    <w:uiPriority w:val="39"/>
    <w:unhideWhenUsed/>
    <w:qFormat/>
    <w:pPr>
      <w:ind w:left="283" w:right="0" w:firstLine="0"/>
      <w:spacing w:after="57"/>
    </w:pPr>
  </w:style>
  <w:style w:type="paragraph" w:styleId="884">
    <w:name w:val="toc 9"/>
    <w:basedOn w:val="852"/>
    <w:next w:val="852"/>
    <w:uiPriority w:val="39"/>
    <w:unhideWhenUsed/>
    <w:qFormat/>
    <w:pPr>
      <w:ind w:left="2268" w:right="0" w:firstLine="0"/>
      <w:spacing w:after="57"/>
    </w:pPr>
  </w:style>
  <w:style w:type="paragraph" w:styleId="885">
    <w:name w:val="Title"/>
    <w:basedOn w:val="852"/>
    <w:next w:val="852"/>
    <w:link w:val="901"/>
    <w:uiPriority w:val="10"/>
    <w:qFormat/>
    <w:pPr>
      <w:contextualSpacing/>
      <w:spacing w:before="300" w:after="200"/>
    </w:pPr>
    <w:rPr>
      <w:sz w:val="48"/>
      <w:szCs w:val="48"/>
    </w:rPr>
  </w:style>
  <w:style w:type="table" w:styleId="8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Hyperlink"/>
    <w:uiPriority w:val="99"/>
    <w:unhideWhenUsed/>
    <w:qFormat/>
    <w:rPr>
      <w:color w:val="0000ff" w:themeColor="hyperlink"/>
      <w:u w:val="single"/>
    </w:rPr>
  </w:style>
  <w:style w:type="character" w:styleId="889">
    <w:name w:val="footnote reference"/>
    <w:uiPriority w:val="99"/>
    <w:unhideWhenUsed/>
    <w:qFormat/>
    <w:rPr>
      <w:vertAlign w:val="superscript"/>
    </w:rPr>
  </w:style>
  <w:style w:type="character" w:styleId="890" w:customStyle="1">
    <w:name w:val="Heading 1 Char"/>
    <w:link w:val="853"/>
    <w:uiPriority w:val="9"/>
    <w:qFormat/>
    <w:rPr>
      <w:rFonts w:ascii="Arial" w:hAnsi="Arial" w:eastAsia="Arial" w:cs="Arial"/>
      <w:sz w:val="40"/>
      <w:szCs w:val="40"/>
    </w:rPr>
  </w:style>
  <w:style w:type="character" w:styleId="891" w:customStyle="1">
    <w:name w:val="Heading 2 Char"/>
    <w:link w:val="854"/>
    <w:uiPriority w:val="9"/>
    <w:qFormat/>
    <w:rPr>
      <w:rFonts w:ascii="Arial" w:hAnsi="Arial" w:eastAsia="Arial" w:cs="Arial"/>
      <w:sz w:val="34"/>
    </w:rPr>
  </w:style>
  <w:style w:type="character" w:styleId="892" w:customStyle="1">
    <w:name w:val="Heading 3 Char"/>
    <w:link w:val="855"/>
    <w:uiPriority w:val="9"/>
    <w:qFormat/>
    <w:rPr>
      <w:rFonts w:ascii="Arial" w:hAnsi="Arial" w:eastAsia="Arial" w:cs="Arial"/>
      <w:sz w:val="30"/>
      <w:szCs w:val="30"/>
    </w:rPr>
  </w:style>
  <w:style w:type="character" w:styleId="893" w:customStyle="1">
    <w:name w:val="Heading 4 Char"/>
    <w:link w:val="856"/>
    <w:uiPriority w:val="9"/>
    <w:qFormat/>
    <w:rPr>
      <w:rFonts w:ascii="Arial" w:hAnsi="Arial" w:eastAsia="Arial" w:cs="Arial"/>
      <w:b/>
      <w:bCs/>
      <w:sz w:val="26"/>
      <w:szCs w:val="26"/>
    </w:rPr>
  </w:style>
  <w:style w:type="character" w:styleId="894" w:customStyle="1">
    <w:name w:val="Heading 5 Char"/>
    <w:link w:val="857"/>
    <w:uiPriority w:val="9"/>
    <w:qFormat/>
    <w:rPr>
      <w:rFonts w:ascii="Arial" w:hAnsi="Arial" w:eastAsia="Arial" w:cs="Arial"/>
      <w:b/>
      <w:bCs/>
      <w:sz w:val="24"/>
      <w:szCs w:val="24"/>
    </w:rPr>
  </w:style>
  <w:style w:type="character" w:styleId="895" w:customStyle="1">
    <w:name w:val="Heading 6 Char"/>
    <w:link w:val="858"/>
    <w:uiPriority w:val="9"/>
    <w:qFormat/>
    <w:rPr>
      <w:rFonts w:ascii="Arial" w:hAnsi="Arial" w:eastAsia="Arial" w:cs="Arial"/>
      <w:b/>
      <w:bCs/>
      <w:sz w:val="22"/>
      <w:szCs w:val="22"/>
    </w:rPr>
  </w:style>
  <w:style w:type="character" w:styleId="896" w:customStyle="1">
    <w:name w:val="Heading 7 Char"/>
    <w:link w:val="859"/>
    <w:uiPriority w:val="9"/>
    <w:qFormat/>
    <w:rPr>
      <w:rFonts w:ascii="Arial" w:hAnsi="Arial" w:eastAsia="Arial" w:cs="Arial"/>
      <w:b/>
      <w:bCs/>
      <w:i/>
      <w:iCs/>
      <w:sz w:val="22"/>
      <w:szCs w:val="22"/>
    </w:rPr>
  </w:style>
  <w:style w:type="character" w:styleId="897" w:customStyle="1">
    <w:name w:val="Heading 8 Char"/>
    <w:link w:val="860"/>
    <w:uiPriority w:val="9"/>
    <w:qFormat/>
    <w:rPr>
      <w:rFonts w:ascii="Arial" w:hAnsi="Arial" w:eastAsia="Arial" w:cs="Arial"/>
      <w:i/>
      <w:iCs/>
      <w:sz w:val="22"/>
      <w:szCs w:val="22"/>
    </w:rPr>
  </w:style>
  <w:style w:type="character" w:styleId="898" w:customStyle="1">
    <w:name w:val="Heading 9 Char"/>
    <w:link w:val="861"/>
    <w:uiPriority w:val="9"/>
    <w:qFormat/>
    <w:rPr>
      <w:rFonts w:ascii="Arial" w:hAnsi="Arial" w:eastAsia="Arial" w:cs="Arial"/>
      <w:i/>
      <w:iCs/>
      <w:sz w:val="21"/>
      <w:szCs w:val="21"/>
    </w:rPr>
  </w:style>
  <w:style w:type="paragraph" w:styleId="899">
    <w:name w:val="List Paragraph"/>
    <w:basedOn w:val="852"/>
    <w:uiPriority w:val="34"/>
    <w:qFormat/>
    <w:pPr>
      <w:contextualSpacing/>
      <w:ind w:left="720"/>
    </w:pPr>
  </w:style>
  <w:style w:type="paragraph" w:styleId="900">
    <w:name w:val="No Spacing"/>
    <w:uiPriority w:val="1"/>
    <w:qFormat/>
    <w:pPr>
      <w:spacing w:before="0" w:after="0" w:line="240" w:lineRule="auto"/>
    </w:pPr>
    <w:rPr>
      <w:rFonts w:hint="default" w:ascii="Times New Roman" w:hAnsi="Times New Roman" w:eastAsia="宋体" w:cs="Times New Roman"/>
    </w:rPr>
  </w:style>
  <w:style w:type="character" w:styleId="901" w:customStyle="1">
    <w:name w:val="Title Char"/>
    <w:link w:val="885"/>
    <w:uiPriority w:val="10"/>
    <w:qFormat/>
    <w:rPr>
      <w:sz w:val="48"/>
      <w:szCs w:val="48"/>
    </w:rPr>
  </w:style>
  <w:style w:type="character" w:styleId="902" w:customStyle="1">
    <w:name w:val="Subtitle Char"/>
    <w:link w:val="879"/>
    <w:uiPriority w:val="11"/>
    <w:qFormat/>
    <w:rPr>
      <w:sz w:val="24"/>
      <w:szCs w:val="24"/>
    </w:rPr>
  </w:style>
  <w:style w:type="paragraph" w:styleId="903">
    <w:name w:val="Quote"/>
    <w:basedOn w:val="852"/>
    <w:next w:val="852"/>
    <w:link w:val="904"/>
    <w:uiPriority w:val="29"/>
    <w:qFormat/>
    <w:pPr>
      <w:ind w:left="720" w:right="720"/>
    </w:pPr>
    <w:rPr>
      <w:i/>
    </w:rPr>
  </w:style>
  <w:style w:type="character" w:styleId="904" w:customStyle="1">
    <w:name w:val="Quote Char"/>
    <w:link w:val="903"/>
    <w:uiPriority w:val="29"/>
    <w:qFormat/>
    <w:rPr>
      <w:i/>
    </w:rPr>
  </w:style>
  <w:style w:type="paragraph" w:styleId="905">
    <w:name w:val="Intense Quote"/>
    <w:basedOn w:val="852"/>
    <w:next w:val="852"/>
    <w:link w:val="9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Intense Quote Char"/>
    <w:link w:val="905"/>
    <w:uiPriority w:val="30"/>
    <w:qFormat/>
    <w:rPr>
      <w:i/>
    </w:rPr>
  </w:style>
  <w:style w:type="character" w:styleId="907" w:customStyle="1">
    <w:name w:val="Header Char"/>
    <w:link w:val="876"/>
    <w:uiPriority w:val="99"/>
    <w:qFormat/>
  </w:style>
  <w:style w:type="character" w:styleId="908" w:customStyle="1">
    <w:name w:val="Footer Char"/>
    <w:link w:val="875"/>
    <w:uiPriority w:val="99"/>
    <w:qFormat/>
  </w:style>
  <w:style w:type="character" w:styleId="909" w:customStyle="1">
    <w:name w:val="Caption Char"/>
    <w:link w:val="875"/>
    <w:uiPriority w:val="99"/>
    <w:qFormat/>
  </w:style>
  <w:style w:type="table" w:styleId="9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5" w:customStyle="1">
    <w:name w:val="Footnote Text Char"/>
    <w:link w:val="880"/>
    <w:uiPriority w:val="99"/>
    <w:qFormat/>
    <w:rPr>
      <w:sz w:val="18"/>
    </w:rPr>
  </w:style>
  <w:style w:type="character" w:styleId="1036" w:customStyle="1">
    <w:name w:val="Endnote Text Char"/>
    <w:link w:val="874"/>
    <w:uiPriority w:val="99"/>
    <w:qFormat/>
    <w:rPr>
      <w:sz w:val="20"/>
    </w:rPr>
  </w:style>
  <w:style w:type="paragraph" w:styleId="1037" w:customStyle="1">
    <w:name w:val="TOC Heading"/>
    <w:uiPriority w:val="39"/>
    <w:unhideWhenUsed/>
    <w:qFormat/>
    <w:rPr>
      <w:rFonts w:hint="default" w:ascii="Times New Roman" w:hAnsi="Times New Roman" w:eastAsia="宋体" w:cs="Times New Roman"/>
    </w:rPr>
  </w:style>
  <w:style w:type="paragraph" w:styleId="1038" w:customStyle="1">
    <w:name w:val="标题 11"/>
    <w:basedOn w:val="852"/>
    <w:next w:val="852"/>
    <w:link w:val="1050"/>
    <w:uiPriority w:val="0"/>
    <w:qFormat/>
    <w:pPr>
      <w:jc w:val="center"/>
      <w:keepNext/>
      <w:outlineLvl w:val="0"/>
    </w:pPr>
    <w:rPr>
      <w:rFonts w:ascii="楷体_GB2312" w:hAnsi="Times New Roman" w:eastAsia="楷体_GB2312" w:cs="Times New Roman"/>
      <w:sz w:val="28"/>
      <w:szCs w:val="28"/>
    </w:rPr>
  </w:style>
  <w:style w:type="paragraph" w:styleId="1039" w:customStyle="1">
    <w:name w:val="标题 21"/>
    <w:basedOn w:val="852"/>
    <w:next w:val="852"/>
    <w:link w:val="105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0" w:customStyle="1">
    <w:name w:val="标题 31"/>
    <w:basedOn w:val="852"/>
    <w:next w:val="852"/>
    <w:link w:val="105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41" w:customStyle="1">
    <w:name w:val="标题 411"/>
    <w:basedOn w:val="852"/>
    <w:next w:val="1042"/>
    <w:link w:val="1053"/>
    <w:uiPriority w:val="0"/>
    <w:qFormat/>
    <w:pPr>
      <w:keepLines/>
      <w:keepNext/>
      <w:spacing w:before="280" w:after="290" w:line="376" w:lineRule="auto"/>
      <w:outlineLvl w:val="3"/>
    </w:pPr>
    <w:rPr>
      <w:rFonts w:ascii="Arial" w:hAnsi="Arial" w:eastAsia="黑体" w:cs="Arial"/>
      <w:b/>
      <w:bCs/>
      <w:sz w:val="28"/>
      <w:szCs w:val="28"/>
    </w:rPr>
  </w:style>
  <w:style w:type="paragraph" w:styleId="1042" w:customStyle="1">
    <w:name w:val="正文缩进11"/>
    <w:basedOn w:val="852"/>
    <w:link w:val="1054"/>
    <w:uiPriority w:val="0"/>
    <w:qFormat/>
    <w:pPr>
      <w:ind w:firstLine="420"/>
    </w:pPr>
    <w:rPr>
      <w:szCs w:val="21"/>
    </w:rPr>
  </w:style>
  <w:style w:type="paragraph" w:styleId="1043" w:customStyle="1">
    <w:name w:val="标题 51"/>
    <w:basedOn w:val="852"/>
    <w:next w:val="1042"/>
    <w:link w:val="1055"/>
    <w:uiPriority w:val="0"/>
    <w:qFormat/>
    <w:pPr>
      <w:keepNext/>
      <w:outlineLvl w:val="4"/>
    </w:pPr>
    <w:rPr>
      <w:rFonts w:ascii="宋体" w:hAnsi="Times New Roman" w:eastAsia="宋体" w:cs="Times New Roman"/>
      <w:color w:val="000000"/>
      <w:sz w:val="28"/>
      <w:szCs w:val="28"/>
    </w:rPr>
  </w:style>
  <w:style w:type="paragraph" w:styleId="1044" w:customStyle="1">
    <w:name w:val="标题 61"/>
    <w:basedOn w:val="852"/>
    <w:next w:val="852"/>
    <w:link w:val="105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045" w:customStyle="1">
    <w:name w:val="标题 71"/>
    <w:basedOn w:val="852"/>
    <w:next w:val="852"/>
    <w:link w:val="105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046" w:customStyle="1">
    <w:name w:val="标题 81"/>
    <w:basedOn w:val="852"/>
    <w:next w:val="852"/>
    <w:link w:val="105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047" w:customStyle="1">
    <w:name w:val="标题 91"/>
    <w:basedOn w:val="852"/>
    <w:next w:val="852"/>
    <w:link w:val="105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048" w:customStyle="1">
    <w:name w:val="默认段落字体1"/>
    <w:link w:val="852"/>
    <w:uiPriority w:val="1"/>
    <w:unhideWhenUsed/>
    <w:qFormat/>
  </w:style>
  <w:style w:type="table" w:styleId="1049" w:customStyle="1">
    <w:name w:val="普通表格1"/>
    <w:uiPriority w:val="99"/>
    <w:unhideWhenUsed/>
    <w:qFormat/>
    <w:tblPr/>
  </w:style>
  <w:style w:type="character" w:styleId="1050" w:customStyle="1">
    <w:name w:val="标题 1 字符"/>
    <w:link w:val="1038"/>
    <w:uiPriority w:val="0"/>
    <w:qFormat/>
    <w:rPr>
      <w:rFonts w:ascii="楷体_GB2312" w:hAnsi="Times New Roman" w:eastAsia="楷体_GB2312" w:cs="Times New Roman"/>
      <w:sz w:val="28"/>
      <w:szCs w:val="28"/>
    </w:rPr>
  </w:style>
  <w:style w:type="character" w:styleId="1051" w:customStyle="1">
    <w:name w:val="标题 2 字符"/>
    <w:link w:val="1039"/>
    <w:uiPriority w:val="0"/>
    <w:qFormat/>
    <w:rPr>
      <w:rFonts w:ascii="Arial" w:hAnsi="Arial" w:eastAsia="幼圆" w:cs="Arial"/>
      <w:b/>
      <w:bCs/>
      <w:sz w:val="44"/>
      <w:szCs w:val="44"/>
    </w:rPr>
  </w:style>
  <w:style w:type="character" w:styleId="1052" w:customStyle="1">
    <w:name w:val="标题 3 字符"/>
    <w:link w:val="1040"/>
    <w:uiPriority w:val="0"/>
    <w:qFormat/>
    <w:rPr>
      <w:rFonts w:ascii="Times New Roman" w:hAnsi="Times New Roman" w:eastAsia="宋体" w:cs="Times New Roman"/>
      <w:b/>
      <w:bCs/>
      <w:sz w:val="32"/>
      <w:szCs w:val="32"/>
    </w:rPr>
  </w:style>
  <w:style w:type="character" w:styleId="1053" w:customStyle="1">
    <w:name w:val="标题 4 字符"/>
    <w:link w:val="1041"/>
    <w:uiPriority w:val="0"/>
    <w:qFormat/>
    <w:rPr>
      <w:rFonts w:ascii="Arial" w:hAnsi="Arial" w:eastAsia="黑体" w:cs="Arial"/>
      <w:b/>
      <w:bCs/>
      <w:sz w:val="28"/>
      <w:szCs w:val="28"/>
    </w:rPr>
  </w:style>
  <w:style w:type="character" w:styleId="1054" w:customStyle="1">
    <w:name w:val="正文缩进 字符"/>
    <w:link w:val="1042"/>
    <w:uiPriority w:val="0"/>
    <w:qFormat/>
    <w:rPr>
      <w:szCs w:val="21"/>
    </w:rPr>
  </w:style>
  <w:style w:type="character" w:styleId="1055" w:customStyle="1">
    <w:name w:val="标题 5 字符"/>
    <w:link w:val="1043"/>
    <w:uiPriority w:val="0"/>
    <w:qFormat/>
    <w:rPr>
      <w:rFonts w:ascii="宋体" w:hAnsi="Times New Roman" w:eastAsia="宋体" w:cs="Times New Roman"/>
      <w:color w:val="000000"/>
      <w:sz w:val="28"/>
      <w:szCs w:val="28"/>
    </w:rPr>
  </w:style>
  <w:style w:type="character" w:styleId="1056" w:customStyle="1">
    <w:name w:val="标题 6 字符"/>
    <w:link w:val="1044"/>
    <w:uiPriority w:val="0"/>
    <w:qFormat/>
    <w:rPr>
      <w:rFonts w:ascii="Arial" w:hAnsi="Arial" w:eastAsia="黑体" w:cs="Times New Roman"/>
      <w:b/>
      <w:bCs/>
      <w:sz w:val="24"/>
      <w:szCs w:val="24"/>
    </w:rPr>
  </w:style>
  <w:style w:type="character" w:styleId="1057" w:customStyle="1">
    <w:name w:val="标题 7 字符"/>
    <w:link w:val="1045"/>
    <w:uiPriority w:val="0"/>
    <w:qFormat/>
    <w:rPr>
      <w:rFonts w:ascii="Times New Roman" w:hAnsi="Times New Roman" w:eastAsia="宋体" w:cs="Times New Roman"/>
      <w:b/>
      <w:bCs/>
      <w:sz w:val="24"/>
      <w:szCs w:val="24"/>
    </w:rPr>
  </w:style>
  <w:style w:type="character" w:styleId="1058" w:customStyle="1">
    <w:name w:val="标题 8 字符"/>
    <w:link w:val="1046"/>
    <w:uiPriority w:val="0"/>
    <w:qFormat/>
    <w:rPr>
      <w:rFonts w:ascii="Arial" w:hAnsi="Arial" w:eastAsia="黑体" w:cs="Times New Roman"/>
      <w:sz w:val="24"/>
      <w:szCs w:val="24"/>
    </w:rPr>
  </w:style>
  <w:style w:type="character" w:styleId="1059" w:customStyle="1">
    <w:name w:val="标题 9 字符"/>
    <w:link w:val="1047"/>
    <w:uiPriority w:val="0"/>
    <w:qFormat/>
    <w:rPr>
      <w:rFonts w:ascii="Arial" w:hAnsi="Arial" w:eastAsia="黑体" w:cs="Times New Roman"/>
      <w:szCs w:val="21"/>
    </w:rPr>
  </w:style>
  <w:style w:type="paragraph" w:styleId="1060" w:customStyle="1">
    <w:name w:val="列表 31"/>
    <w:basedOn w:val="852"/>
    <w:uiPriority w:val="0"/>
    <w:qFormat/>
    <w:pPr>
      <w:ind w:left="100" w:hanging="200"/>
    </w:pPr>
    <w:rPr>
      <w:rFonts w:ascii="Times New Roman" w:hAnsi="Times New Roman" w:eastAsia="宋体" w:cs="Times New Roman"/>
      <w:szCs w:val="21"/>
    </w:rPr>
  </w:style>
  <w:style w:type="paragraph" w:styleId="1061" w:customStyle="1">
    <w:name w:val="目录 71"/>
    <w:basedOn w:val="852"/>
    <w:next w:val="852"/>
    <w:uiPriority w:val="0"/>
    <w:semiHidden/>
    <w:qFormat/>
    <w:pPr>
      <w:ind w:left="1260"/>
      <w:jc w:val="left"/>
    </w:pPr>
    <w:rPr>
      <w:rFonts w:ascii="Times New Roman" w:hAnsi="Times New Roman" w:eastAsia="宋体" w:cs="Times New Roman"/>
      <w:szCs w:val="21"/>
    </w:rPr>
  </w:style>
  <w:style w:type="paragraph" w:styleId="1062" w:customStyle="1">
    <w:name w:val="文档结构图1"/>
    <w:basedOn w:val="852"/>
    <w:link w:val="1063"/>
    <w:uiPriority w:val="0"/>
    <w:semiHidden/>
    <w:qFormat/>
    <w:pPr>
      <w:shd w:val="clear" w:color="auto" w:fill="000080"/>
    </w:pPr>
    <w:rPr>
      <w:rFonts w:ascii="Times New Roman" w:hAnsi="Times New Roman" w:eastAsia="宋体" w:cs="Times New Roman"/>
      <w:szCs w:val="21"/>
    </w:rPr>
  </w:style>
  <w:style w:type="character" w:styleId="1063" w:customStyle="1">
    <w:name w:val="文档结构图 字符"/>
    <w:link w:val="1062"/>
    <w:uiPriority w:val="0"/>
    <w:semiHidden/>
    <w:qFormat/>
    <w:rPr>
      <w:rFonts w:ascii="Times New Roman" w:hAnsi="Times New Roman" w:eastAsia="宋体" w:cs="Times New Roman"/>
      <w:szCs w:val="21"/>
      <w:shd w:val="clear" w:color="auto" w:fill="000080"/>
    </w:rPr>
  </w:style>
  <w:style w:type="paragraph" w:styleId="1064" w:customStyle="1">
    <w:name w:val="批注文字1"/>
    <w:basedOn w:val="852"/>
    <w:link w:val="1065"/>
    <w:uiPriority w:val="0"/>
    <w:unhideWhenUsed/>
    <w:qFormat/>
    <w:pPr>
      <w:jc w:val="left"/>
    </w:pPr>
  </w:style>
  <w:style w:type="character" w:styleId="1065" w:customStyle="1">
    <w:name w:val="批注文字 字符"/>
    <w:link w:val="1064"/>
    <w:uiPriority w:val="99"/>
    <w:semiHidden/>
    <w:qFormat/>
  </w:style>
  <w:style w:type="paragraph" w:styleId="1066" w:customStyle="1">
    <w:name w:val="正文文本 31"/>
    <w:basedOn w:val="852"/>
    <w:link w:val="1067"/>
    <w:uiPriority w:val="0"/>
    <w:qFormat/>
    <w:rPr>
      <w:rFonts w:ascii="仿宋_GB2312" w:hAnsi="Arial" w:eastAsia="仿宋_GB2312" w:cs="Times New Roman"/>
      <w:sz w:val="32"/>
      <w:szCs w:val="32"/>
    </w:rPr>
  </w:style>
  <w:style w:type="character" w:styleId="1067" w:customStyle="1">
    <w:name w:val="正文文本 3 字符"/>
    <w:link w:val="1066"/>
    <w:uiPriority w:val="0"/>
    <w:qFormat/>
    <w:rPr>
      <w:rFonts w:ascii="仿宋_GB2312" w:hAnsi="Arial" w:eastAsia="仿宋_GB2312" w:cs="Times New Roman"/>
      <w:sz w:val="32"/>
      <w:szCs w:val="32"/>
    </w:rPr>
  </w:style>
  <w:style w:type="paragraph" w:styleId="1068" w:customStyle="1">
    <w:name w:val="正文文本11"/>
    <w:basedOn w:val="852"/>
    <w:next w:val="852"/>
    <w:link w:val="1069"/>
    <w:uiPriority w:val="0"/>
    <w:qFormat/>
    <w:rPr>
      <w:rFonts w:ascii="楷体_GB2312" w:hAnsi="Arial" w:eastAsia="楷体_GB2312" w:cs="Times New Roman"/>
      <w:sz w:val="28"/>
      <w:szCs w:val="28"/>
    </w:rPr>
  </w:style>
  <w:style w:type="character" w:styleId="1069" w:customStyle="1">
    <w:name w:val="正文文本 字符"/>
    <w:link w:val="1068"/>
    <w:uiPriority w:val="0"/>
    <w:qFormat/>
    <w:rPr>
      <w:rFonts w:ascii="楷体_GB2312" w:hAnsi="Arial" w:eastAsia="楷体_GB2312" w:cs="Times New Roman"/>
      <w:sz w:val="28"/>
      <w:szCs w:val="28"/>
    </w:rPr>
  </w:style>
  <w:style w:type="paragraph" w:styleId="1070" w:customStyle="1">
    <w:name w:val="正文文本缩进11"/>
    <w:basedOn w:val="852"/>
    <w:link w:val="1071"/>
    <w:uiPriority w:val="0"/>
    <w:unhideWhenUsed/>
    <w:qFormat/>
    <w:pPr>
      <w:ind w:left="420"/>
      <w:spacing w:after="120"/>
    </w:pPr>
  </w:style>
  <w:style w:type="character" w:styleId="1071" w:customStyle="1">
    <w:name w:val="正文文本缩进 字符"/>
    <w:link w:val="1070"/>
    <w:uiPriority w:val="99"/>
    <w:semiHidden/>
    <w:qFormat/>
  </w:style>
  <w:style w:type="paragraph" w:styleId="1072" w:customStyle="1">
    <w:name w:val="列表 21"/>
    <w:basedOn w:val="852"/>
    <w:uiPriority w:val="0"/>
    <w:qFormat/>
    <w:pPr>
      <w:ind w:left="100" w:hanging="200"/>
    </w:pPr>
    <w:rPr>
      <w:rFonts w:ascii="Times New Roman" w:hAnsi="Times New Roman" w:eastAsia="宋体" w:cs="Times New Roman"/>
      <w:szCs w:val="21"/>
    </w:rPr>
  </w:style>
  <w:style w:type="paragraph" w:styleId="1073" w:customStyle="1">
    <w:name w:val="目录 51"/>
    <w:basedOn w:val="852"/>
    <w:next w:val="852"/>
    <w:uiPriority w:val="0"/>
    <w:semiHidden/>
    <w:qFormat/>
    <w:pPr>
      <w:ind w:left="840"/>
      <w:jc w:val="left"/>
    </w:pPr>
    <w:rPr>
      <w:rFonts w:ascii="Times New Roman" w:hAnsi="Times New Roman" w:eastAsia="宋体" w:cs="Times New Roman"/>
      <w:szCs w:val="21"/>
    </w:rPr>
  </w:style>
  <w:style w:type="paragraph" w:styleId="1074" w:customStyle="1">
    <w:name w:val="目录 31"/>
    <w:basedOn w:val="852"/>
    <w:next w:val="852"/>
    <w:uiPriority w:val="0"/>
    <w:semiHidden/>
    <w:qFormat/>
    <w:pPr>
      <w:ind w:left="420"/>
      <w:jc w:val="left"/>
    </w:pPr>
    <w:rPr>
      <w:rFonts w:ascii="Times New Roman" w:hAnsi="Times New Roman" w:eastAsia="宋体" w:cs="Times New Roman"/>
      <w:i/>
      <w:iCs/>
      <w:szCs w:val="24"/>
    </w:rPr>
  </w:style>
  <w:style w:type="paragraph" w:styleId="1075" w:customStyle="1">
    <w:name w:val="纯文本1"/>
    <w:basedOn w:val="852"/>
    <w:link w:val="1076"/>
    <w:uiPriority w:val="0"/>
    <w:qFormat/>
    <w:rPr>
      <w:rFonts w:ascii="宋体" w:hAnsi="Courier New" w:eastAsia="宋体" w:cs="Courier New"/>
      <w:szCs w:val="21"/>
    </w:rPr>
  </w:style>
  <w:style w:type="character" w:styleId="1076" w:customStyle="1">
    <w:name w:val="纯文本 字符"/>
    <w:link w:val="1075"/>
    <w:uiPriority w:val="0"/>
    <w:qFormat/>
    <w:rPr>
      <w:rFonts w:ascii="宋体" w:hAnsi="Courier New" w:eastAsia="宋体" w:cs="Courier New"/>
      <w:szCs w:val="21"/>
    </w:rPr>
  </w:style>
  <w:style w:type="paragraph" w:styleId="1077" w:customStyle="1">
    <w:name w:val="目录 81"/>
    <w:basedOn w:val="852"/>
    <w:next w:val="852"/>
    <w:uiPriority w:val="0"/>
    <w:semiHidden/>
    <w:qFormat/>
    <w:pPr>
      <w:ind w:left="1470"/>
      <w:jc w:val="left"/>
    </w:pPr>
    <w:rPr>
      <w:rFonts w:ascii="Times New Roman" w:hAnsi="Times New Roman" w:eastAsia="宋体" w:cs="Times New Roman"/>
      <w:szCs w:val="21"/>
    </w:rPr>
  </w:style>
  <w:style w:type="paragraph" w:styleId="1078" w:customStyle="1">
    <w:name w:val="日期1"/>
    <w:basedOn w:val="852"/>
    <w:next w:val="852"/>
    <w:link w:val="1079"/>
    <w:uiPriority w:val="0"/>
    <w:qFormat/>
    <w:rPr>
      <w:rFonts w:ascii="Times New Roman" w:hAnsi="Times New Roman" w:eastAsia="宋体" w:cs="Times New Roman"/>
      <w:sz w:val="24"/>
      <w:szCs w:val="24"/>
    </w:rPr>
  </w:style>
  <w:style w:type="character" w:styleId="1079" w:customStyle="1">
    <w:name w:val="日期 字符"/>
    <w:link w:val="1078"/>
    <w:uiPriority w:val="0"/>
    <w:qFormat/>
    <w:rPr>
      <w:rFonts w:ascii="Times New Roman" w:hAnsi="Times New Roman" w:eastAsia="宋体" w:cs="Times New Roman"/>
      <w:sz w:val="24"/>
      <w:szCs w:val="24"/>
    </w:rPr>
  </w:style>
  <w:style w:type="paragraph" w:styleId="1080" w:customStyle="1">
    <w:name w:val="正文文本缩进 21"/>
    <w:basedOn w:val="852"/>
    <w:link w:val="1081"/>
    <w:uiPriority w:val="0"/>
    <w:qFormat/>
    <w:pPr>
      <w:ind w:left="630" w:firstLine="645"/>
    </w:pPr>
    <w:rPr>
      <w:rFonts w:ascii="Arial" w:hAnsi="Arial" w:eastAsia="仿宋_GB2312" w:cs="Arial"/>
      <w:sz w:val="32"/>
      <w:szCs w:val="32"/>
    </w:rPr>
  </w:style>
  <w:style w:type="character" w:styleId="1081" w:customStyle="1">
    <w:name w:val="正文文本缩进 2 字符"/>
    <w:link w:val="1080"/>
    <w:uiPriority w:val="0"/>
    <w:qFormat/>
    <w:rPr>
      <w:rFonts w:ascii="Arial" w:hAnsi="Arial" w:eastAsia="仿宋_GB2312" w:cs="Arial"/>
      <w:sz w:val="32"/>
      <w:szCs w:val="32"/>
    </w:rPr>
  </w:style>
  <w:style w:type="paragraph" w:styleId="1082" w:customStyle="1">
    <w:name w:val="批注框文本1"/>
    <w:basedOn w:val="852"/>
    <w:link w:val="1083"/>
    <w:uiPriority w:val="0"/>
    <w:semiHidden/>
    <w:qFormat/>
    <w:rPr>
      <w:rFonts w:ascii="Times New Roman" w:hAnsi="Times New Roman" w:eastAsia="宋体" w:cs="Times New Roman"/>
      <w:sz w:val="18"/>
      <w:szCs w:val="18"/>
    </w:rPr>
  </w:style>
  <w:style w:type="character" w:styleId="1083" w:customStyle="1">
    <w:name w:val="批注框文本 字符"/>
    <w:link w:val="1082"/>
    <w:uiPriority w:val="0"/>
    <w:semiHidden/>
    <w:qFormat/>
    <w:rPr>
      <w:rFonts w:ascii="Times New Roman" w:hAnsi="Times New Roman" w:eastAsia="宋体" w:cs="Times New Roman"/>
      <w:sz w:val="18"/>
      <w:szCs w:val="18"/>
    </w:rPr>
  </w:style>
  <w:style w:type="paragraph" w:styleId="1084" w:customStyle="1">
    <w:name w:val="页脚1"/>
    <w:basedOn w:val="852"/>
    <w:link w:val="1085"/>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085" w:customStyle="1">
    <w:name w:val="页脚 字符"/>
    <w:link w:val="1084"/>
    <w:uiPriority w:val="0"/>
    <w:qFormat/>
    <w:rPr>
      <w:rFonts w:ascii="Times New Roman" w:hAnsi="Times New Roman" w:eastAsia="宋体" w:cs="Times New Roman"/>
      <w:sz w:val="18"/>
      <w:szCs w:val="18"/>
    </w:rPr>
  </w:style>
  <w:style w:type="paragraph" w:styleId="1086" w:customStyle="1">
    <w:name w:val="页眉1"/>
    <w:basedOn w:val="852"/>
    <w:link w:val="1087"/>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87" w:customStyle="1">
    <w:name w:val="页眉 字符"/>
    <w:link w:val="1086"/>
    <w:uiPriority w:val="0"/>
    <w:qFormat/>
    <w:rPr>
      <w:rFonts w:ascii="Times New Roman" w:hAnsi="Times New Roman" w:eastAsia="宋体" w:cs="Times New Roman"/>
      <w:sz w:val="18"/>
      <w:szCs w:val="18"/>
    </w:rPr>
  </w:style>
  <w:style w:type="paragraph" w:styleId="1088" w:customStyle="1">
    <w:name w:val="目录 111"/>
    <w:basedOn w:val="852"/>
    <w:next w:val="85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89" w:customStyle="1">
    <w:name w:val="目录 41"/>
    <w:basedOn w:val="852"/>
    <w:next w:val="852"/>
    <w:uiPriority w:val="0"/>
    <w:semiHidden/>
    <w:qFormat/>
    <w:pPr>
      <w:ind w:left="630"/>
      <w:jc w:val="left"/>
    </w:pPr>
    <w:rPr>
      <w:rFonts w:ascii="Times New Roman" w:hAnsi="Times New Roman" w:eastAsia="宋体" w:cs="Times New Roman"/>
      <w:szCs w:val="21"/>
    </w:rPr>
  </w:style>
  <w:style w:type="paragraph" w:styleId="1090" w:customStyle="1">
    <w:name w:val="列表1"/>
    <w:basedOn w:val="852"/>
    <w:uiPriority w:val="0"/>
    <w:qFormat/>
    <w:pPr>
      <w:ind w:left="200" w:hanging="200"/>
    </w:pPr>
    <w:rPr>
      <w:rFonts w:ascii="Times New Roman" w:hAnsi="Times New Roman" w:eastAsia="宋体" w:cs="Times New Roman"/>
      <w:szCs w:val="21"/>
    </w:rPr>
  </w:style>
  <w:style w:type="paragraph" w:styleId="1091" w:customStyle="1">
    <w:name w:val="目录 61"/>
    <w:basedOn w:val="852"/>
    <w:next w:val="852"/>
    <w:uiPriority w:val="0"/>
    <w:semiHidden/>
    <w:qFormat/>
    <w:pPr>
      <w:ind w:left="1050"/>
      <w:jc w:val="left"/>
    </w:pPr>
    <w:rPr>
      <w:rFonts w:ascii="Times New Roman" w:hAnsi="Times New Roman" w:eastAsia="宋体" w:cs="Times New Roman"/>
      <w:szCs w:val="21"/>
    </w:rPr>
  </w:style>
  <w:style w:type="paragraph" w:styleId="1092" w:customStyle="1">
    <w:name w:val="正文文本缩进 31"/>
    <w:basedOn w:val="852"/>
    <w:link w:val="1093"/>
    <w:uiPriority w:val="0"/>
    <w:qFormat/>
    <w:pPr>
      <w:ind w:left="645" w:firstLine="645"/>
    </w:pPr>
    <w:rPr>
      <w:rFonts w:ascii="Arial" w:hAnsi="Arial" w:eastAsia="仿宋_GB2312" w:cs="Arial"/>
      <w:color w:val="ffff00"/>
      <w:sz w:val="32"/>
      <w:szCs w:val="32"/>
    </w:rPr>
  </w:style>
  <w:style w:type="character" w:styleId="1093" w:customStyle="1">
    <w:name w:val="正文文本缩进 3 字符"/>
    <w:link w:val="1092"/>
    <w:uiPriority w:val="0"/>
    <w:qFormat/>
    <w:rPr>
      <w:rFonts w:ascii="Arial" w:hAnsi="Arial" w:eastAsia="仿宋_GB2312" w:cs="Arial"/>
      <w:color w:val="ffff00"/>
      <w:sz w:val="32"/>
      <w:szCs w:val="32"/>
    </w:rPr>
  </w:style>
  <w:style w:type="paragraph" w:styleId="1094" w:customStyle="1">
    <w:name w:val="图表目录1"/>
    <w:basedOn w:val="852"/>
    <w:next w:val="852"/>
    <w:uiPriority w:val="0"/>
    <w:semiHidden/>
    <w:qFormat/>
    <w:pPr>
      <w:ind w:left="840" w:hanging="420"/>
    </w:pPr>
    <w:rPr>
      <w:rFonts w:ascii="Times New Roman" w:hAnsi="Times New Roman" w:eastAsia="宋体" w:cs="Times New Roman"/>
      <w:szCs w:val="21"/>
    </w:rPr>
  </w:style>
  <w:style w:type="paragraph" w:styleId="1095" w:customStyle="1">
    <w:name w:val="目录 21"/>
    <w:basedOn w:val="852"/>
    <w:next w:val="852"/>
    <w:uiPriority w:val="0"/>
    <w:semiHidden/>
    <w:qFormat/>
    <w:pPr>
      <w:ind w:left="210"/>
      <w:jc w:val="left"/>
    </w:pPr>
    <w:rPr>
      <w:rFonts w:ascii="Times New Roman" w:hAnsi="Times New Roman" w:eastAsia="宋体" w:cs="Times New Roman"/>
      <w:smallCaps/>
      <w:szCs w:val="24"/>
    </w:rPr>
  </w:style>
  <w:style w:type="paragraph" w:styleId="1096" w:customStyle="1">
    <w:name w:val="目录 91"/>
    <w:basedOn w:val="852"/>
    <w:next w:val="852"/>
    <w:uiPriority w:val="0"/>
    <w:semiHidden/>
    <w:qFormat/>
    <w:pPr>
      <w:ind w:left="1680"/>
      <w:jc w:val="left"/>
    </w:pPr>
    <w:rPr>
      <w:rFonts w:ascii="Times New Roman" w:hAnsi="Times New Roman" w:eastAsia="宋体" w:cs="Times New Roman"/>
      <w:szCs w:val="21"/>
    </w:rPr>
  </w:style>
  <w:style w:type="paragraph" w:styleId="1097" w:customStyle="1">
    <w:name w:val="正文文本 21"/>
    <w:basedOn w:val="852"/>
    <w:link w:val="1098"/>
    <w:uiPriority w:val="0"/>
    <w:qFormat/>
    <w:pPr>
      <w:jc w:val="center"/>
      <w:widowControl/>
    </w:pPr>
    <w:rPr>
      <w:rFonts w:ascii="楷体_GB2312" w:hAnsi="Times New Roman" w:eastAsia="楷体_GB2312" w:cs="Times New Roman"/>
      <w:sz w:val="28"/>
      <w:szCs w:val="28"/>
    </w:rPr>
  </w:style>
  <w:style w:type="character" w:styleId="1098" w:customStyle="1">
    <w:name w:val="正文文本 2 字符"/>
    <w:link w:val="1097"/>
    <w:uiPriority w:val="0"/>
    <w:qFormat/>
    <w:rPr>
      <w:rFonts w:ascii="楷体_GB2312" w:hAnsi="Times New Roman" w:eastAsia="楷体_GB2312" w:cs="Times New Roman"/>
      <w:sz w:val="28"/>
      <w:szCs w:val="28"/>
    </w:rPr>
  </w:style>
  <w:style w:type="paragraph" w:styleId="1099" w:customStyle="1">
    <w:name w:val="普通(网站)11"/>
    <w:basedOn w:val="852"/>
    <w:uiPriority w:val="0"/>
    <w:qFormat/>
    <w:pPr>
      <w:jc w:val="left"/>
      <w:spacing w:before="100" w:beforeAutospacing="1" w:after="100" w:afterAutospacing="1"/>
      <w:widowControl/>
    </w:pPr>
    <w:rPr>
      <w:rFonts w:ascii="宋体" w:hAnsi="宋体" w:eastAsia="宋体" w:cs="宋体"/>
      <w:sz w:val="24"/>
      <w:szCs w:val="24"/>
    </w:rPr>
  </w:style>
  <w:style w:type="paragraph" w:styleId="1100" w:customStyle="1">
    <w:name w:val="索引 11"/>
    <w:basedOn w:val="852"/>
    <w:next w:val="852"/>
    <w:uiPriority w:val="0"/>
    <w:semiHidden/>
    <w:qFormat/>
    <w:pPr>
      <w:spacing w:line="240" w:lineRule="atLeast"/>
    </w:pPr>
    <w:rPr>
      <w:rFonts w:ascii="Times New Roman" w:hAnsi="Times New Roman" w:eastAsia="宋体" w:cs="Times New Roman"/>
      <w:b/>
      <w:bCs/>
      <w:szCs w:val="21"/>
    </w:rPr>
  </w:style>
  <w:style w:type="paragraph" w:styleId="1101" w:customStyle="1">
    <w:name w:val="批注主题1"/>
    <w:basedOn w:val="1064"/>
    <w:next w:val="1064"/>
    <w:link w:val="1102"/>
    <w:uiPriority w:val="0"/>
    <w:semiHidden/>
    <w:qFormat/>
    <w:rPr>
      <w:rFonts w:ascii="Times New Roman" w:hAnsi="Times New Roman" w:eastAsia="宋体" w:cs="Times New Roman"/>
      <w:b/>
      <w:bCs/>
      <w:szCs w:val="21"/>
    </w:rPr>
  </w:style>
  <w:style w:type="character" w:styleId="1102" w:customStyle="1">
    <w:name w:val="批注主题 字符"/>
    <w:link w:val="1101"/>
    <w:uiPriority w:val="0"/>
    <w:semiHidden/>
    <w:qFormat/>
    <w:rPr>
      <w:rFonts w:ascii="Times New Roman" w:hAnsi="Times New Roman" w:eastAsia="宋体" w:cs="Times New Roman"/>
      <w:b/>
      <w:bCs/>
      <w:szCs w:val="21"/>
    </w:rPr>
  </w:style>
  <w:style w:type="paragraph" w:styleId="1103" w:customStyle="1">
    <w:name w:val="正文首行缩进1"/>
    <w:basedOn w:val="864"/>
    <w:link w:val="1104"/>
    <w:uiPriority w:val="0"/>
    <w:qFormat/>
    <w:pPr>
      <w:ind w:firstLine="200"/>
      <w:spacing w:line="360" w:lineRule="auto"/>
    </w:pPr>
    <w:rPr>
      <w:rFonts w:ascii="仿宋_GB2312" w:hAnsi="Times New Roman" w:eastAsia="仿宋_GB2312" w:cs="Times New Roman"/>
      <w:sz w:val="30"/>
      <w:szCs w:val="30"/>
    </w:rPr>
  </w:style>
  <w:style w:type="character" w:styleId="1104" w:customStyle="1">
    <w:name w:val="正文文本首行缩进 字符"/>
    <w:link w:val="1103"/>
    <w:uiPriority w:val="0"/>
    <w:qFormat/>
    <w:rPr>
      <w:rFonts w:ascii="仿宋_GB2312" w:hAnsi="Times New Roman" w:eastAsia="仿宋_GB2312" w:cs="Times New Roman"/>
      <w:sz w:val="30"/>
      <w:szCs w:val="30"/>
    </w:rPr>
  </w:style>
  <w:style w:type="paragraph" w:styleId="1105" w:customStyle="1">
    <w:name w:val="正文首行缩进 21"/>
    <w:basedOn w:val="1070"/>
    <w:link w:val="1106"/>
    <w:uiPriority w:val="0"/>
    <w:qFormat/>
    <w:pPr>
      <w:ind w:left="0" w:firstLine="420"/>
      <w:spacing w:after="0" w:line="360" w:lineRule="auto"/>
    </w:pPr>
    <w:rPr>
      <w:rFonts w:ascii="宋体" w:hAnsi="宋体" w:eastAsia="宋体" w:cs="Times New Roman"/>
      <w:szCs w:val="20"/>
    </w:rPr>
  </w:style>
  <w:style w:type="character" w:styleId="1106" w:customStyle="1">
    <w:name w:val="正文文本首行缩进 2 字符"/>
    <w:link w:val="1105"/>
    <w:uiPriority w:val="0"/>
    <w:qFormat/>
    <w:rPr>
      <w:rFonts w:ascii="宋体" w:hAnsi="宋体" w:eastAsia="宋体" w:cs="Times New Roman"/>
      <w:szCs w:val="20"/>
    </w:rPr>
  </w:style>
  <w:style w:type="table" w:styleId="1107" w:customStyle="1">
    <w:name w:val="网格型11"/>
    <w:basedOn w:val="1049"/>
    <w:uiPriority w:val="39"/>
    <w:qFormat/>
    <w:pPr>
      <w:jc w:val="both"/>
      <w:widowControl w:val="off"/>
    </w:pPr>
    <w:rPr>
      <w:rFonts w:ascii="Times New Roman" w:hAnsi="Times New Roman" w:eastAsia="宋体" w:cs="Times New Roman"/>
      <w:sz w:val="20"/>
      <w:szCs w:val="20"/>
    </w:rPr>
    <w:tblPr/>
  </w:style>
  <w:style w:type="character" w:styleId="1108" w:customStyle="1">
    <w:name w:val="要点1"/>
    <w:link w:val="852"/>
    <w:uiPriority w:val="0"/>
    <w:qFormat/>
    <w:rPr>
      <w:b/>
      <w:bCs/>
    </w:rPr>
  </w:style>
  <w:style w:type="character" w:styleId="1109" w:customStyle="1">
    <w:name w:val="页码1"/>
    <w:link w:val="852"/>
    <w:uiPriority w:val="0"/>
    <w:qFormat/>
  </w:style>
  <w:style w:type="character" w:styleId="1110" w:customStyle="1">
    <w:name w:val="已访问的超链接1"/>
    <w:link w:val="852"/>
    <w:uiPriority w:val="0"/>
    <w:qFormat/>
    <w:rPr>
      <w:color w:val="800080"/>
      <w:u w:val="single"/>
    </w:rPr>
  </w:style>
  <w:style w:type="character" w:styleId="1111" w:customStyle="1">
    <w:name w:val="超链接1"/>
    <w:link w:val="852"/>
    <w:uiPriority w:val="0"/>
    <w:qFormat/>
    <w:rPr>
      <w:color w:val="0000ff"/>
      <w:u w:val="single"/>
    </w:rPr>
  </w:style>
  <w:style w:type="character" w:styleId="1112" w:customStyle="1">
    <w:name w:val="批注引用1"/>
    <w:link w:val="852"/>
    <w:uiPriority w:val="0"/>
    <w:qFormat/>
    <w:rPr>
      <w:sz w:val="21"/>
      <w:szCs w:val="21"/>
    </w:rPr>
  </w:style>
  <w:style w:type="paragraph" w:styleId="1113" w:customStyle="1">
    <w:name w:val="正文首行缩进11"/>
    <w:basedOn w:val="864"/>
    <w:uiPriority w:val="99"/>
    <w:qFormat/>
    <w:pPr>
      <w:ind w:firstLine="200"/>
      <w:spacing w:line="360" w:lineRule="auto"/>
    </w:pPr>
    <w:rPr>
      <w:rFonts w:ascii="仿宋_GB2312" w:hAnsi="Times New Roman" w:eastAsia="仿宋_GB2312"/>
      <w:sz w:val="30"/>
      <w:szCs w:val="30"/>
      <w:lang w:val="zh-CN"/>
    </w:rPr>
  </w:style>
  <w:style w:type="paragraph" w:styleId="1114" w:customStyle="1">
    <w:name w:val="标题 211"/>
    <w:basedOn w:val="852"/>
    <w:next w:val="852"/>
    <w:uiPriority w:val="0"/>
    <w:qFormat/>
    <w:pPr>
      <w:jc w:val="center"/>
      <w:keepLines/>
      <w:keepNext/>
      <w:spacing w:before="260" w:after="260" w:line="416" w:lineRule="auto"/>
      <w:outlineLvl w:val="1"/>
    </w:pPr>
    <w:rPr>
      <w:rFonts w:ascii="宋体" w:hAnsi="宋体" w:eastAsia="楷体_GB2312" w:cs="宋体"/>
      <w:b/>
      <w:bCs/>
      <w:sz w:val="26"/>
      <w:szCs w:val="26"/>
    </w:rPr>
  </w:style>
  <w:style w:type="character" w:styleId="1115" w:customStyle="1">
    <w:name w:val="font5 Char"/>
    <w:link w:val="852"/>
    <w:uiPriority w:val="0"/>
    <w:qFormat/>
    <w:rPr>
      <w:rFonts w:ascii="宋体" w:hAnsi="宋体" w:eastAsia="宋体"/>
      <w:sz w:val="28"/>
      <w:szCs w:val="28"/>
      <w:lang w:val="en-US" w:eastAsia="zh-CN" w:bidi="ar-SA"/>
    </w:rPr>
  </w:style>
  <w:style w:type="character" w:styleId="1116" w:customStyle="1">
    <w:name w:val="二级目录 Char"/>
    <w:link w:val="1117"/>
    <w:uiPriority w:val="0"/>
    <w:qFormat/>
    <w:rPr>
      <w:b/>
      <w:sz w:val="30"/>
      <w:szCs w:val="28"/>
    </w:rPr>
  </w:style>
  <w:style w:type="paragraph" w:styleId="1117" w:customStyle="1">
    <w:name w:val="二级目录"/>
    <w:next w:val="852"/>
    <w:link w:val="111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18" w:customStyle="1">
    <w:name w:val="列出段落 Char"/>
    <w:link w:val="1119"/>
    <w:uiPriority w:val="0"/>
    <w:qFormat/>
    <w:rPr>
      <w:rFonts w:ascii="Calibri" w:hAnsi="Calibri"/>
      <w:sz w:val="24"/>
      <w:szCs w:val="24"/>
      <w:lang w:eastAsia="en-US" w:bidi="en-US"/>
    </w:rPr>
  </w:style>
  <w:style w:type="paragraph" w:styleId="1119" w:customStyle="1">
    <w:name w:val="列出段落1"/>
    <w:basedOn w:val="852"/>
    <w:link w:val="1118"/>
    <w:uiPriority w:val="0"/>
    <w:qFormat/>
    <w:pPr>
      <w:contextualSpacing/>
      <w:ind w:left="720"/>
      <w:jc w:val="left"/>
      <w:widowControl/>
    </w:pPr>
    <w:rPr>
      <w:rFonts w:ascii="Calibri" w:hAnsi="Calibri"/>
      <w:sz w:val="24"/>
      <w:szCs w:val="24"/>
      <w:lang w:eastAsia="en-US" w:bidi="en-US"/>
    </w:rPr>
  </w:style>
  <w:style w:type="paragraph" w:styleId="1120" w:customStyle="1">
    <w:name w:val="Body Text(ch)"/>
    <w:basedOn w:val="852"/>
    <w:next w:val="1068"/>
    <w:uiPriority w:val="0"/>
    <w:qFormat/>
    <w:pPr>
      <w:spacing w:after="120"/>
    </w:pPr>
    <w:rPr>
      <w:rFonts w:ascii="宋体" w:hAnsi="Arial" w:eastAsia="宋体" w:cs="Times New Roman"/>
      <w:bCs/>
      <w:iCs/>
      <w:szCs w:val="24"/>
    </w:rPr>
  </w:style>
  <w:style w:type="paragraph" w:styleId="1121" w:customStyle="1">
    <w:name w:val="xl27"/>
    <w:basedOn w:val="8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2" w:customStyle="1">
    <w:name w:val="xl26"/>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23" w:customStyle="1">
    <w:name w:val="Char"/>
    <w:basedOn w:val="852"/>
    <w:uiPriority w:val="0"/>
    <w:qFormat/>
    <w:pPr>
      <w:ind w:firstLine="200"/>
      <w:tabs>
        <w:tab w:val="left" w:pos="360" w:leader="none"/>
      </w:tabs>
    </w:pPr>
    <w:rPr>
      <w:rFonts w:ascii="Times New Roman" w:hAnsi="Times New Roman" w:eastAsia="宋体" w:cs="Times New Roman"/>
      <w:sz w:val="28"/>
      <w:szCs w:val="30"/>
    </w:rPr>
  </w:style>
  <w:style w:type="paragraph" w:styleId="1124" w:customStyle="1">
    <w:name w:val=" Char"/>
    <w:basedOn w:val="1062"/>
    <w:uiPriority w:val="0"/>
    <w:qFormat/>
    <w:rPr>
      <w:rFonts w:ascii="Tahoma" w:hAnsi="Tahoma"/>
      <w:sz w:val="24"/>
      <w:szCs w:val="24"/>
    </w:rPr>
  </w:style>
  <w:style w:type="paragraph" w:styleId="1125" w:customStyle="1">
    <w:name w:val="普通正文"/>
    <w:basedOn w:val="852"/>
    <w:uiPriority w:val="0"/>
    <w:qFormat/>
    <w:pPr>
      <w:ind w:firstLine="480"/>
      <w:jc w:val="left"/>
      <w:spacing w:before="120" w:after="120" w:line="360" w:lineRule="auto"/>
    </w:pPr>
    <w:rPr>
      <w:rFonts w:ascii="Arial" w:hAnsi="Arial" w:eastAsia="宋体" w:cs="Times New Roman"/>
      <w:sz w:val="24"/>
      <w:szCs w:val="24"/>
    </w:rPr>
  </w:style>
  <w:style w:type="paragraph" w:styleId="1126" w:customStyle="1">
    <w:name w:val="table_lines"/>
    <w:basedOn w:val="852"/>
    <w:uiPriority w:val="0"/>
    <w:qFormat/>
    <w:pPr>
      <w:jc w:val="left"/>
      <w:widowControl/>
    </w:pPr>
    <w:rPr>
      <w:rFonts w:ascii="Times New Roman" w:hAnsi="Times New Roman" w:eastAsia="宋体" w:cs="Times New Roman"/>
      <w:sz w:val="20"/>
      <w:szCs w:val="20"/>
      <w:lang w:val="de-DE" w:eastAsia="de-DE"/>
    </w:rPr>
  </w:style>
  <w:style w:type="paragraph" w:styleId="11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28" w:customStyle="1">
    <w:name w:val="font7"/>
    <w:basedOn w:val="85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29" w:customStyle="1">
    <w:name w:val=" Char Char Char Char"/>
    <w:basedOn w:val="1062"/>
    <w:uiPriority w:val="0"/>
    <w:qFormat/>
    <w:pPr>
      <w:spacing w:line="360" w:lineRule="auto"/>
    </w:pPr>
    <w:rPr>
      <w:rFonts w:ascii="Tahoma" w:hAnsi="Tahoma"/>
      <w:sz w:val="24"/>
      <w:szCs w:val="24"/>
    </w:rPr>
  </w:style>
  <w:style w:type="paragraph" w:styleId="1130" w:customStyle="1">
    <w:name w:val="列表段落"/>
    <w:basedOn w:val="852"/>
    <w:uiPriority w:val="0"/>
    <w:qFormat/>
    <w:pPr>
      <w:contextualSpacing/>
      <w:ind w:left="720"/>
      <w:jc w:val="left"/>
      <w:widowControl/>
    </w:pPr>
    <w:rPr>
      <w:rFonts w:ascii="Calibri" w:hAnsi="Calibri" w:eastAsia="宋体" w:cs="Times New Roman"/>
      <w:sz w:val="24"/>
      <w:szCs w:val="24"/>
      <w:lang w:eastAsia="en-US" w:bidi="en-US"/>
    </w:rPr>
  </w:style>
  <w:style w:type="paragraph" w:styleId="1131" w:customStyle="1">
    <w:name w:val="4"/>
    <w:basedOn w:val="852"/>
    <w:next w:val="1092"/>
    <w:uiPriority w:val="0"/>
    <w:qFormat/>
    <w:pPr>
      <w:ind w:firstLine="420"/>
      <w:spacing w:line="360" w:lineRule="auto"/>
    </w:pPr>
    <w:rPr>
      <w:rFonts w:ascii="Times New Roman" w:hAnsi="Times New Roman" w:eastAsia="宋体" w:cs="Times New Roman"/>
      <w:color w:val="ff0000"/>
      <w:sz w:val="24"/>
      <w:szCs w:val="24"/>
    </w:rPr>
  </w:style>
  <w:style w:type="paragraph" w:styleId="1132" w:customStyle="1">
    <w:name w:val="普通 (Web)"/>
    <w:basedOn w:val="852"/>
    <w:uiPriority w:val="0"/>
    <w:qFormat/>
    <w:pPr>
      <w:jc w:val="left"/>
      <w:spacing w:before="100" w:beforeAutospacing="1" w:after="100" w:afterAutospacing="1"/>
      <w:widowControl/>
    </w:pPr>
    <w:rPr>
      <w:rFonts w:ascii="宋体" w:hAnsi="宋体" w:eastAsia="宋体" w:cs="Times New Roman"/>
      <w:sz w:val="24"/>
      <w:szCs w:val="24"/>
    </w:rPr>
  </w:style>
  <w:style w:type="paragraph" w:styleId="1133" w:customStyle="1">
    <w:name w:val=" Char Char Char Char Char Char Char Char Char Char"/>
    <w:basedOn w:val="852"/>
    <w:uiPriority w:val="0"/>
    <w:qFormat/>
    <w:pPr>
      <w:spacing w:line="360" w:lineRule="auto"/>
    </w:pPr>
    <w:rPr>
      <w:rFonts w:ascii="Times New Roman" w:hAnsi="Times New Roman" w:eastAsia="宋体" w:cs="Times New Roman"/>
      <w:sz w:val="24"/>
      <w:szCs w:val="20"/>
    </w:rPr>
  </w:style>
  <w:style w:type="paragraph" w:styleId="1134" w:customStyle="1">
    <w:name w:val="样式1"/>
    <w:basedOn w:val="852"/>
    <w:uiPriority w:val="0"/>
    <w:qFormat/>
    <w:pPr>
      <w:numPr>
        <w:ilvl w:val="0"/>
        <w:numId w:val="3"/>
      </w:numPr>
    </w:pPr>
    <w:rPr>
      <w:rFonts w:ascii="宋体" w:hAnsi="宋体" w:eastAsia="宋体" w:cs="Times New Roman"/>
      <w:szCs w:val="21"/>
    </w:rPr>
  </w:style>
  <w:style w:type="paragraph" w:styleId="1135" w:customStyle="1">
    <w:name w:val="font6"/>
    <w:basedOn w:val="85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36" w:customStyle="1">
    <w:name w:val="xl25"/>
    <w:basedOn w:val="85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7" w:customStyle="1">
    <w:name w:val="图标"/>
    <w:basedOn w:val="852"/>
    <w:next w:val="85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38" w:customStyle="1">
    <w:name w:val="标题3"/>
    <w:basedOn w:val="852"/>
    <w:next w:val="852"/>
    <w:uiPriority w:val="0"/>
    <w:qFormat/>
    <w:pPr>
      <w:ind w:firstLine="624"/>
      <w:spacing w:line="590" w:lineRule="atLeast"/>
    </w:pPr>
    <w:rPr>
      <w:rFonts w:ascii="方正黑体_GBK" w:hAnsi="Times New Roman" w:eastAsia="方正黑体_GBK" w:cs="Times New Roman"/>
      <w:sz w:val="32"/>
      <w:szCs w:val="32"/>
    </w:rPr>
  </w:style>
  <w:style w:type="paragraph" w:styleId="1139" w:customStyle="1">
    <w:name w:val="xl24"/>
    <w:basedOn w:val="85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40" w:customStyle="1">
    <w:name w:val="xl29"/>
    <w:basedOn w:val="85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41" w:customStyle="1">
    <w:name w:val="Char Char Char Char Char Char Char Char"/>
    <w:basedOn w:val="852"/>
    <w:uiPriority w:val="0"/>
    <w:qFormat/>
    <w:pPr>
      <w:jc w:val="left"/>
      <w:spacing w:after="160" w:line="240" w:lineRule="exact"/>
      <w:widowControl/>
    </w:pPr>
    <w:rPr>
      <w:rFonts w:ascii="Verdana" w:hAnsi="Verdana" w:eastAsia="宋体" w:cs="Times New Roman"/>
      <w:sz w:val="20"/>
      <w:szCs w:val="20"/>
      <w:lang w:eastAsia="en-US"/>
    </w:rPr>
  </w:style>
  <w:style w:type="paragraph" w:styleId="1142" w:customStyle="1">
    <w:name w:val="xl28"/>
    <w:basedOn w:val="85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43" w:customStyle="1">
    <w:name w:val=" Char Char Char Char Char Char Char Char"/>
    <w:basedOn w:val="852"/>
    <w:uiPriority w:val="0"/>
    <w:qFormat/>
    <w:pPr>
      <w:jc w:val="left"/>
      <w:spacing w:after="160" w:line="240" w:lineRule="exact"/>
      <w:widowControl/>
    </w:pPr>
    <w:rPr>
      <w:rFonts w:ascii="Verdana" w:hAnsi="Verdana" w:eastAsia="宋体" w:cs="Times New Roman"/>
      <w:sz w:val="20"/>
      <w:szCs w:val="20"/>
      <w:lang w:eastAsia="en-US"/>
    </w:rPr>
  </w:style>
  <w:style w:type="paragraph" w:styleId="1144" w:customStyle="1">
    <w:name w:val="xl30"/>
    <w:basedOn w:val="85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45" w:customStyle="1">
    <w:name w:val="Char Char Char Char"/>
    <w:basedOn w:val="1062"/>
    <w:uiPriority w:val="0"/>
    <w:qFormat/>
    <w:pPr>
      <w:spacing w:line="360" w:lineRule="auto"/>
    </w:pPr>
    <w:rPr>
      <w:rFonts w:ascii="Tahoma" w:hAnsi="Tahoma"/>
      <w:sz w:val="24"/>
      <w:szCs w:val="24"/>
    </w:rPr>
  </w:style>
  <w:style w:type="paragraph" w:styleId="1146" w:customStyle="1">
    <w:name w:val="table_1stline"/>
    <w:basedOn w:val="852"/>
    <w:uiPriority w:val="0"/>
    <w:qFormat/>
    <w:pPr>
      <w:jc w:val="left"/>
      <w:spacing w:before="120"/>
      <w:widowControl/>
    </w:pPr>
    <w:rPr>
      <w:rFonts w:ascii="Times New Roman" w:hAnsi="Times New Roman" w:eastAsia="宋体" w:cs="Times New Roman"/>
      <w:bCs/>
      <w:sz w:val="20"/>
      <w:szCs w:val="20"/>
      <w:lang w:val="de-DE" w:eastAsia="de-DE"/>
    </w:rPr>
  </w:style>
  <w:style w:type="paragraph" w:styleId="1147" w:customStyle="1">
    <w:name w:val="font5"/>
    <w:basedOn w:val="85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48" w:customStyle="1">
    <w:name w:val="标题1"/>
    <w:basedOn w:val="852"/>
    <w:next w:val="85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4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5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1" w:customStyle="1">
    <w:name w:val="AONormal"/>
    <w:uiPriority w:val="0"/>
    <w:qFormat/>
    <w:pPr>
      <w:ind w:firstLine="440"/>
      <w:spacing w:after="160" w:line="400" w:lineRule="exact"/>
    </w:pPr>
    <w:rPr>
      <w:rFonts w:hint="default" w:ascii="华文楷体" w:hAnsi="华文楷体" w:eastAsia="华文楷体" w:cs="华文楷体"/>
      <w:sz w:val="22"/>
      <w:szCs w:val="21"/>
      <w:lang w:val="en-US" w:eastAsia="zh-CN" w:bidi="ar-SA"/>
    </w:rPr>
  </w:style>
  <w:style w:type="paragraph" w:styleId="1152" w:customStyle="1">
    <w:name w:val="目录 53"/>
    <w:next w:val="852"/>
    <w:uiPriority w:val="0"/>
    <w:qFormat/>
    <w:pPr>
      <w:ind w:left="1275"/>
      <w:jc w:val="both"/>
      <w:spacing w:after="160" w:line="278" w:lineRule="auto"/>
    </w:pPr>
    <w:rPr>
      <w:rFonts w:hint="default" w:ascii="Times New Roman" w:hAnsi="Times New Roman" w:eastAsia="宋体" w:cs="Times New Roman"/>
      <w:sz w:val="21"/>
      <w:lang w:val="en-US" w:eastAsia="zh-CN" w:bidi="ar-SA"/>
    </w:rPr>
  </w:style>
  <w:style w:type="table" w:styleId="1153" w:customStyle="1">
    <w:name w:val="网格型1"/>
    <w:basedOn w:val="1049"/>
    <w:uiPriority w:val="39"/>
    <w:qFormat/>
    <w:rPr>
      <w:rFonts w:ascii="等线" w:hAnsi="等线" w:eastAsia="等线" w:cs="Times New Roman"/>
      <w:sz w:val="21"/>
      <w:szCs w:val="22"/>
    </w:rPr>
    <w:tblPr/>
  </w:style>
  <w:style w:type="paragraph" w:styleId="1154" w:customStyle="1">
    <w:name w:val="ListBullet21"/>
    <w:basedOn w:val="852"/>
    <w:uiPriority w:val="0"/>
    <w:qFormat/>
    <w:pPr>
      <w:numPr>
        <w:ilvl w:val="0"/>
        <w:numId w:val="4"/>
      </w:numPr>
    </w:pPr>
    <w:rPr>
      <w:szCs w:val="24"/>
    </w:rPr>
  </w:style>
  <w:style w:type="table" w:styleId="1155" w:customStyle="1">
    <w:name w:val="网格型2"/>
    <w:basedOn w:val="1049"/>
    <w:uiPriority w:val="39"/>
    <w:qFormat/>
    <w:rPr>
      <w:rFonts w:ascii="等线" w:hAnsi="等线" w:eastAsia="等线" w:cs="Times New Roman"/>
      <w:sz w:val="21"/>
      <w:szCs w:val="22"/>
    </w:rPr>
    <w:tblPr/>
  </w:style>
  <w:style w:type="table" w:styleId="1156" w:customStyle="1">
    <w:name w:val="网格型3"/>
    <w:basedOn w:val="1049"/>
    <w:uiPriority w:val="39"/>
    <w:qFormat/>
    <w:rPr>
      <w:rFonts w:ascii="等线" w:hAnsi="等线" w:eastAsia="等线" w:cs="Times New Roman"/>
    </w:rPr>
    <w:tblPr/>
  </w:style>
  <w:style w:type="paragraph" w:styleId="1157" w:customStyle="1">
    <w:name w:val="正文文本首行缩进 2"/>
    <w:basedOn w:val="1158"/>
    <w:uiPriority w:val="0"/>
    <w:qFormat/>
    <w:pPr>
      <w:ind w:left="0" w:firstLine="420"/>
      <w:spacing w:after="0" w:line="360" w:lineRule="auto"/>
    </w:pPr>
    <w:rPr>
      <w:rFonts w:ascii="宋体" w:hAnsi="宋体" w:eastAsia="宋体" w:cs="Times New Roman"/>
      <w:szCs w:val="20"/>
    </w:rPr>
  </w:style>
  <w:style w:type="paragraph" w:styleId="1158" w:customStyle="1">
    <w:name w:val="正文文本缩进1"/>
    <w:basedOn w:val="852"/>
    <w:next w:val="1159"/>
    <w:uiPriority w:val="0"/>
    <w:unhideWhenUsed/>
    <w:qFormat/>
    <w:pPr>
      <w:ind w:left="420"/>
      <w:spacing w:after="120"/>
    </w:pPr>
  </w:style>
  <w:style w:type="paragraph" w:styleId="1159" w:customStyle="1">
    <w:name w:val="寄信人地址1"/>
    <w:basedOn w:val="852"/>
    <w:uiPriority w:val="99"/>
    <w:unhideWhenUsed/>
    <w:qFormat/>
    <w:rPr>
      <w:rFonts w:ascii="Arial" w:hAnsi="Arial"/>
    </w:rPr>
  </w:style>
  <w:style w:type="paragraph" w:styleId="1160" w:customStyle="1">
    <w:name w:val="目录 11"/>
    <w:basedOn w:val="852"/>
    <w:next w:val="852"/>
    <w:uiPriority w:val="0"/>
    <w:semiHidden/>
    <w:qFormat/>
    <w:pPr>
      <w:jc w:val="left"/>
      <w:spacing w:before="120" w:after="120" w:line="400" w:lineRule="exact"/>
      <w:tabs>
        <w:tab w:val="right" w:pos="8720" w:leader="dot"/>
      </w:tabs>
    </w:pPr>
    <w:rPr>
      <w:rFonts w:ascii="宋体" w:hAnsi="宋体"/>
      <w:caps/>
      <w:sz w:val="24"/>
      <w:szCs w:val="24"/>
    </w:rPr>
  </w:style>
  <w:style w:type="paragraph" w:styleId="1161" w:customStyle="1">
    <w:name w:val="标题 41"/>
    <w:basedOn w:val="852"/>
    <w:next w:val="1162"/>
    <w:uiPriority w:val="0"/>
    <w:qFormat/>
    <w:pPr>
      <w:keepLines/>
      <w:keepNext/>
      <w:spacing w:before="280" w:after="290" w:line="376" w:lineRule="auto"/>
      <w:outlineLvl w:val="3"/>
    </w:pPr>
    <w:rPr>
      <w:rFonts w:ascii="Arial" w:hAnsi="Arial" w:eastAsia="黑体" w:cs="Arial"/>
      <w:b/>
      <w:bCs/>
      <w:sz w:val="28"/>
      <w:szCs w:val="28"/>
    </w:rPr>
  </w:style>
  <w:style w:type="paragraph" w:styleId="1162" w:customStyle="1">
    <w:name w:val="正文缩进1"/>
    <w:basedOn w:val="852"/>
    <w:uiPriority w:val="0"/>
    <w:qFormat/>
    <w:pPr>
      <w:ind w:firstLine="420"/>
    </w:pPr>
  </w:style>
  <w:style w:type="paragraph" w:styleId="1163" w:customStyle="1">
    <w:name w:val="普通(网站)1"/>
    <w:basedOn w:val="852"/>
    <w:uiPriority w:val="99"/>
    <w:qFormat/>
    <w:pPr>
      <w:jc w:val="left"/>
      <w:spacing w:before="100" w:beforeAutospacing="1" w:after="100" w:afterAutospacing="1"/>
      <w:widowControl/>
    </w:pPr>
    <w:rPr>
      <w:rFonts w:ascii="宋体" w:hAnsi="宋体" w:eastAsia="宋体" w:cs="宋体"/>
      <w:sz w:val="24"/>
      <w:szCs w:val="24"/>
    </w:rPr>
  </w:style>
  <w:style w:type="paragraph" w:styleId="1164" w:customStyle="1">
    <w:name w:val="正文111"/>
    <w:basedOn w:val="852"/>
    <w:uiPriority w:val="0"/>
    <w:qFormat/>
    <w:pPr>
      <w:ind w:firstLine="1680"/>
      <w:spacing w:line="360" w:lineRule="auto"/>
    </w:pPr>
    <w:rPr>
      <w:rFonts w:ascii="Times New Roman" w:hAnsi="Times New Roman"/>
      <w:szCs w:val="21"/>
    </w:rPr>
  </w:style>
  <w:style w:type="character" w:styleId="1165" w:customStyle="1">
    <w:name w:val="font41"/>
    <w:link w:val="852"/>
    <w:uiPriority w:val="0"/>
    <w:qFormat/>
    <w:rPr>
      <w:rFonts w:hint="eastAsia" w:ascii="宋体" w:hAnsi="宋体" w:eastAsia="宋体" w:cs="宋体"/>
      <w:color w:val="000000"/>
      <w:sz w:val="22"/>
      <w:szCs w:val="22"/>
      <w:u w:val="none"/>
    </w:rPr>
  </w:style>
  <w:style w:type="paragraph" w:styleId="1166" w:customStyle="1">
    <w:name w:val="Table Text"/>
    <w:basedOn w:val="852"/>
    <w:uiPriority w:val="0"/>
    <w:semiHidden/>
    <w:qFormat/>
    <w:rPr>
      <w:rFonts w:ascii="宋体" w:hAnsi="宋体" w:cs="宋体"/>
      <w:sz w:val="24"/>
      <w:lang w:eastAsia="en-US"/>
    </w:rPr>
  </w:style>
  <w:style w:type="numbering" w:styleId="7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1.wmf"/><Relationship Id="rId19" Type="http://schemas.openxmlformats.org/officeDocument/2006/relationships/oleObject" Target="embeddings/oleObject1.bin"/><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2049"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陈柯柯</cp:lastModifiedBy>
  <cp:revision>4</cp:revision>
  <dcterms:created xsi:type="dcterms:W3CDTF">2023-03-16T02:13:00Z</dcterms:created>
  <dcterms:modified xsi:type="dcterms:W3CDTF">2025-12-02T00:55:39Z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eyJoZGlkIjoiMDhkZWZkOWRjZTM1ODUwNmU2ODNlNDA2MzMzOWNmZTEiLCJ1c2VySWQiOiI1MjMyNDc1MDUifQ==</vt:lpwstr>
  </property>
  <property fmtid="{D5CDD505-2E9C-101B-9397-08002B2CF9AE}" pid="3" name="KSOProductBuildVer">
    <vt:lpwstr>2052-12.1.0.23542</vt:lpwstr>
  </property>
  <property fmtid="{D5CDD505-2E9C-101B-9397-08002B2CF9AE}" pid="4" name="ICV">
    <vt:lpwstr>116D3DA1248547EBBC48C8BD09081D9A_12</vt:lpwstr>
  </property>
</Properties>
</file>